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Times New Roman" w:hAnsi="Times New Roman" w:eastAsia="Times New Roman" w:cs="Times New Roman"/>
          <w:sz w:val="28"/>
          <w:lang w:val="en-US" w:eastAsia="bg-BG"/>
        </w:rPr>
      </w:pPr>
      <w:r>
        <w:rPr/>
        <w:drawing>
          <wp:inline distT="0" distB="0" distL="0" distR="0">
            <wp:extent cx="5762625" cy="752475"/>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2"/>
                    <a:stretch>
                      <a:fillRect/>
                    </a:stretch>
                  </pic:blipFill>
                  <pic:spPr bwMode="auto">
                    <a:xfrm>
                      <a:off x="0" y="0"/>
                      <a:ext cx="5762625" cy="752475"/>
                    </a:xfrm>
                    <a:prstGeom prst="rect">
                      <a:avLst/>
                    </a:prstGeom>
                  </pic:spPr>
                </pic:pic>
              </a:graphicData>
            </a:graphic>
          </wp:inline>
        </w:drawing>
      </w:r>
    </w:p>
    <w:p>
      <w:pPr>
        <w:pStyle w:val="Normal"/>
        <w:jc w:val="center"/>
        <w:rPr>
          <w:rFonts w:ascii="Times New Roman" w:hAnsi="Times New Roman" w:eastAsia="Times New Roman" w:cs="Times New Roman"/>
          <w:sz w:val="28"/>
          <w:lang w:val="en-US" w:eastAsia="bg-BG"/>
        </w:rPr>
      </w:pPr>
      <w:r>
        <w:rPr>
          <w:rFonts w:eastAsia="Times New Roman" w:cs="Times New Roman" w:ascii="Times New Roman" w:hAnsi="Times New Roman"/>
          <w:sz w:val="28"/>
          <w:lang w:val="en-US" w:eastAsia="bg-BG"/>
        </w:rPr>
      </w:r>
    </w:p>
    <w:p>
      <w:pPr>
        <w:pStyle w:val="Normal"/>
        <w:jc w:val="center"/>
        <w:rPr>
          <w:rFonts w:ascii="Times New Roman" w:hAnsi="Times New Roman" w:eastAsia="Times New Roman" w:cs="Times New Roman"/>
          <w:sz w:val="28"/>
          <w:lang w:eastAsia="bg-BG"/>
        </w:rPr>
      </w:pPr>
      <w:r>
        <w:rPr>
          <w:rFonts w:eastAsia="Times New Roman" w:cs="Times New Roman" w:ascii="Times New Roman" w:hAnsi="Times New Roman"/>
          <w:sz w:val="32"/>
          <w:szCs w:val="32"/>
          <w:lang w:eastAsia="bg-BG"/>
        </w:rPr>
        <w:t>Факултет:</w:t>
      </w:r>
      <w:r>
        <w:rPr>
          <w:rFonts w:eastAsia="Times New Roman" w:cs="Times New Roman" w:ascii="Times New Roman" w:hAnsi="Times New Roman"/>
          <w:sz w:val="28"/>
          <w:lang w:eastAsia="bg-BG"/>
        </w:rPr>
        <w:t xml:space="preserve"> Финансово - счетоводен</w:t>
      </w:r>
    </w:p>
    <w:p>
      <w:pPr>
        <w:pStyle w:val="Normal"/>
        <w:jc w:val="center"/>
        <w:rPr>
          <w:rFonts w:ascii="Times New Roman" w:hAnsi="Times New Roman" w:eastAsia="Times New Roman" w:cs="Times New Roman"/>
          <w:sz w:val="28"/>
          <w:lang w:eastAsia="bg-BG"/>
        </w:rPr>
      </w:pPr>
      <w:r>
        <w:rPr>
          <w:rFonts w:eastAsia="Times New Roman" w:cs="Times New Roman" w:ascii="Times New Roman" w:hAnsi="Times New Roman"/>
          <w:sz w:val="32"/>
          <w:szCs w:val="32"/>
          <w:lang w:eastAsia="bg-BG"/>
        </w:rPr>
        <w:t>Дисциплина:</w:t>
      </w:r>
      <w:r>
        <w:rPr>
          <w:rFonts w:eastAsia="Times New Roman" w:cs="Times New Roman" w:ascii="Times New Roman" w:hAnsi="Times New Roman"/>
          <w:sz w:val="28"/>
          <w:lang w:eastAsia="bg-BG"/>
        </w:rPr>
        <w:t xml:space="preserve"> Нов мениджмънт в публичния сектор</w:t>
      </w:r>
    </w:p>
    <w:p>
      <w:pPr>
        <w:pStyle w:val="Normal"/>
        <w:rPr>
          <w:rFonts w:ascii="Times New Roman" w:hAnsi="Times New Roman" w:eastAsia="Times New Roman" w:cs="Times New Roman"/>
          <w:sz w:val="28"/>
          <w:lang w:eastAsia="bg-BG"/>
        </w:rPr>
      </w:pPr>
      <w:r>
        <w:rPr>
          <w:rFonts w:eastAsia="Times New Roman" w:cs="Times New Roman" w:ascii="Times New Roman" w:hAnsi="Times New Roman"/>
          <w:sz w:val="28"/>
          <w:lang w:eastAsia="bg-BG"/>
        </w:rPr>
      </w:r>
    </w:p>
    <w:p>
      <w:pPr>
        <w:pStyle w:val="Normal"/>
        <w:jc w:val="center"/>
        <w:rPr>
          <w:rFonts w:ascii="Times New Roman" w:hAnsi="Times New Roman" w:eastAsia="Times New Roman" w:cs="Times New Roman"/>
          <w:i/>
          <w:i/>
          <w:sz w:val="32"/>
          <w:szCs w:val="32"/>
          <w:u w:val="single"/>
          <w:lang w:eastAsia="bg-BG"/>
        </w:rPr>
      </w:pPr>
      <w:r>
        <w:rPr>
          <w:rFonts w:eastAsia="Times New Roman" w:cs="Times New Roman" w:ascii="Times New Roman" w:hAnsi="Times New Roman"/>
          <w:i/>
          <w:sz w:val="32"/>
          <w:szCs w:val="32"/>
          <w:u w:val="single"/>
          <w:lang w:eastAsia="bg-BG"/>
        </w:rPr>
      </w:r>
    </w:p>
    <w:p>
      <w:pPr>
        <w:pStyle w:val="Normal"/>
        <w:jc w:val="center"/>
        <w:rPr>
          <w:rFonts w:ascii="Times New Roman" w:hAnsi="Times New Roman" w:eastAsia="Times New Roman" w:cs="Times New Roman"/>
          <w:i/>
          <w:i/>
          <w:sz w:val="32"/>
          <w:szCs w:val="32"/>
          <w:lang w:eastAsia="bg-BG"/>
        </w:rPr>
      </w:pPr>
      <w:r>
        <w:rPr>
          <w:rFonts w:eastAsia="Times New Roman" w:cs="Times New Roman" w:ascii="Times New Roman" w:hAnsi="Times New Roman"/>
          <w:i/>
          <w:sz w:val="32"/>
          <w:szCs w:val="32"/>
          <w:lang w:eastAsia="bg-BG"/>
        </w:rPr>
        <w:t>Курсова работа на тема:</w:t>
      </w:r>
    </w:p>
    <w:p>
      <w:pPr>
        <w:pStyle w:val="Normal"/>
        <w:jc w:val="center"/>
        <w:rPr>
          <w:rFonts w:ascii="Times New Roman" w:hAnsi="Times New Roman" w:eastAsia="Times New Roman" w:cs="Times New Roman"/>
          <w:b/>
          <w:sz w:val="36"/>
          <w:szCs w:val="32"/>
          <w:lang w:eastAsia="bg-BG"/>
        </w:rPr>
      </w:pPr>
      <w:r>
        <w:rPr>
          <w:rFonts w:eastAsia="Times New Roman" w:cs="Times New Roman" w:ascii="Times New Roman" w:hAnsi="Times New Roman"/>
          <w:b/>
          <w:sz w:val="36"/>
          <w:szCs w:val="32"/>
          <w:lang w:eastAsia="bg-BG"/>
        </w:rPr>
        <w:t>Анализ на либерализацията на пазара на електроенергия</w:t>
      </w:r>
    </w:p>
    <w:p>
      <w:pPr>
        <w:pStyle w:val="Normal"/>
        <w:jc w:val="center"/>
        <w:rPr>
          <w:rFonts w:ascii="Times New Roman" w:hAnsi="Times New Roman" w:eastAsia="Times New Roman" w:cs="Times New Roman"/>
          <w:i/>
          <w:i/>
          <w:sz w:val="32"/>
          <w:szCs w:val="32"/>
          <w:u w:val="single"/>
          <w:lang w:eastAsia="bg-BG"/>
        </w:rPr>
      </w:pPr>
      <w:r>
        <w:rPr>
          <w:rFonts w:eastAsia="Times New Roman" w:cs="Times New Roman" w:ascii="Times New Roman" w:hAnsi="Times New Roman"/>
          <w:i/>
          <w:sz w:val="32"/>
          <w:szCs w:val="32"/>
          <w:u w:val="single"/>
          <w:lang w:eastAsia="bg-BG"/>
        </w:rPr>
      </w:r>
    </w:p>
    <w:p>
      <w:pPr>
        <w:pStyle w:val="Normal"/>
        <w:jc w:val="center"/>
        <w:rPr>
          <w:rFonts w:ascii="Times New Roman" w:hAnsi="Times New Roman" w:eastAsia="Times New Roman" w:cs="Times New Roman"/>
          <w:i/>
          <w:i/>
          <w:sz w:val="32"/>
          <w:szCs w:val="32"/>
          <w:u w:val="single"/>
          <w:lang w:eastAsia="bg-BG"/>
        </w:rPr>
      </w:pPr>
      <w:r>
        <w:rPr>
          <w:rFonts w:eastAsia="Times New Roman" w:cs="Times New Roman" w:ascii="Times New Roman" w:hAnsi="Times New Roman"/>
          <w:i/>
          <w:sz w:val="32"/>
          <w:szCs w:val="32"/>
          <w:u w:val="single"/>
          <w:lang w:eastAsia="bg-BG"/>
        </w:rPr>
      </w:r>
    </w:p>
    <w:p>
      <w:pPr>
        <w:pStyle w:val="Normal"/>
        <w:rPr>
          <w:rFonts w:ascii="Times New Roman" w:hAnsi="Times New Roman" w:eastAsia="Times New Roman" w:cs="Times New Roman"/>
          <w:i/>
          <w:i/>
          <w:sz w:val="32"/>
          <w:szCs w:val="32"/>
          <w:u w:val="single"/>
          <w:lang w:eastAsia="bg-BG"/>
        </w:rPr>
      </w:pPr>
      <w:r>
        <w:rPr>
          <w:rFonts w:eastAsia="Times New Roman" w:cs="Times New Roman" w:ascii="Times New Roman" w:hAnsi="Times New Roman"/>
          <w:i/>
          <w:sz w:val="32"/>
          <w:szCs w:val="32"/>
          <w:u w:val="single"/>
          <w:lang w:eastAsia="bg-BG"/>
        </w:rPr>
      </w:r>
    </w:p>
    <w:p>
      <w:pPr>
        <w:pStyle w:val="Normal"/>
        <w:jc w:val="center"/>
        <w:rPr>
          <w:rFonts w:ascii="Times New Roman" w:hAnsi="Times New Roman" w:eastAsia="Times New Roman" w:cs="Times New Roman"/>
          <w:i/>
          <w:i/>
          <w:sz w:val="32"/>
          <w:szCs w:val="32"/>
          <w:u w:val="single"/>
          <w:lang w:eastAsia="bg-BG"/>
        </w:rPr>
      </w:pPr>
      <w:r>
        <w:rPr>
          <w:rFonts w:eastAsia="Times New Roman" w:cs="Times New Roman" w:ascii="Times New Roman" w:hAnsi="Times New Roman"/>
          <w:i/>
          <w:sz w:val="32"/>
          <w:szCs w:val="32"/>
          <w:u w:val="single"/>
          <w:lang w:eastAsia="bg-BG"/>
        </w:rPr>
      </w:r>
    </w:p>
    <w:p>
      <w:pPr>
        <w:pStyle w:val="Normal"/>
        <w:jc w:val="center"/>
        <w:rPr>
          <w:rFonts w:ascii="Times New Roman" w:hAnsi="Times New Roman" w:eastAsia="Times New Roman" w:cs="Times New Roman"/>
          <w:i/>
          <w:i/>
          <w:sz w:val="32"/>
          <w:szCs w:val="32"/>
          <w:u w:val="single"/>
          <w:lang w:eastAsia="bg-BG"/>
        </w:rPr>
      </w:pPr>
      <w:r>
        <w:rPr>
          <w:rFonts w:eastAsia="Times New Roman" w:cs="Times New Roman" w:ascii="Times New Roman" w:hAnsi="Times New Roman"/>
          <w:i/>
          <w:sz w:val="32"/>
          <w:szCs w:val="32"/>
          <w:u w:val="single"/>
          <w:lang w:eastAsia="bg-BG"/>
        </w:rPr>
      </w:r>
    </w:p>
    <w:p>
      <w:pPr>
        <w:pStyle w:val="Normal"/>
        <w:jc w:val="center"/>
        <w:rPr>
          <w:rFonts w:ascii="Times New Roman" w:hAnsi="Times New Roman" w:eastAsia="Times New Roman" w:cs="Times New Roman"/>
          <w:i/>
          <w:i/>
          <w:sz w:val="32"/>
          <w:szCs w:val="32"/>
          <w:u w:val="single"/>
          <w:lang w:eastAsia="bg-BG"/>
        </w:rPr>
      </w:pPr>
      <w:r>
        <w:rPr>
          <w:rFonts w:eastAsia="Times New Roman" w:cs="Times New Roman" w:ascii="Times New Roman" w:hAnsi="Times New Roman"/>
          <w:i/>
          <w:sz w:val="32"/>
          <w:szCs w:val="32"/>
          <w:u w:val="single"/>
          <w:lang w:eastAsia="bg-BG"/>
        </w:rPr>
      </w:r>
    </w:p>
    <w:p>
      <w:pPr>
        <w:pStyle w:val="Normal"/>
        <w:jc w:val="center"/>
        <w:rPr>
          <w:rFonts w:ascii="Times New Roman" w:hAnsi="Times New Roman" w:eastAsia="Times New Roman" w:cs="Times New Roman"/>
          <w:i/>
          <w:i/>
          <w:sz w:val="32"/>
          <w:szCs w:val="32"/>
          <w:u w:val="single"/>
          <w:lang w:eastAsia="bg-BG"/>
        </w:rPr>
      </w:pPr>
      <w:r>
        <w:rPr>
          <w:rFonts w:eastAsia="Times New Roman" w:cs="Times New Roman" w:ascii="Times New Roman" w:hAnsi="Times New Roman"/>
          <w:i/>
          <w:sz w:val="32"/>
          <w:szCs w:val="32"/>
          <w:u w:val="single"/>
          <w:lang w:eastAsia="bg-BG"/>
        </w:rPr>
      </w:r>
    </w:p>
    <w:p>
      <w:pPr>
        <w:pStyle w:val="Normal"/>
        <w:spacing w:lineRule="auto" w:line="360" w:before="0" w:after="0"/>
        <w:rPr>
          <w:rFonts w:ascii="Times New Roman" w:hAnsi="Times New Roman" w:eastAsia="Times New Roman" w:cs="Times New Roman"/>
          <w:i/>
          <w:i/>
          <w:sz w:val="28"/>
          <w:szCs w:val="28"/>
          <w:lang w:val="en-US" w:eastAsia="bg-BG"/>
        </w:rPr>
      </w:pPr>
      <w:r>
        <w:rPr>
          <w:rFonts w:eastAsia="Times New Roman" w:cs="Times New Roman" w:ascii="Times New Roman" w:hAnsi="Times New Roman"/>
          <w:i/>
          <w:sz w:val="28"/>
          <w:szCs w:val="28"/>
          <w:lang w:val="en-US" w:eastAsia="bg-BG"/>
        </w:rPr>
      </w:r>
    </w:p>
    <w:p>
      <w:pPr>
        <w:pStyle w:val="Normal"/>
        <w:spacing w:lineRule="auto" w:line="360" w:before="0" w:after="0"/>
        <w:rPr>
          <w:rFonts w:ascii="Times New Roman" w:hAnsi="Times New Roman" w:eastAsia="Times New Roman" w:cs="Times New Roman"/>
          <w:i/>
          <w:i/>
          <w:sz w:val="28"/>
          <w:szCs w:val="28"/>
          <w:lang w:val="en-US" w:eastAsia="bg-BG"/>
        </w:rPr>
      </w:pPr>
      <w:r>
        <w:rPr>
          <w:rFonts w:eastAsia="Times New Roman" w:cs="Times New Roman" w:ascii="Times New Roman" w:hAnsi="Times New Roman"/>
          <w:i/>
          <w:sz w:val="28"/>
          <w:szCs w:val="28"/>
          <w:lang w:val="en-US" w:eastAsia="bg-BG"/>
        </w:rPr>
      </w:r>
      <w:bookmarkStart w:id="0" w:name="_GoBack"/>
      <w:bookmarkStart w:id="1" w:name="_GoBack"/>
      <w:bookmarkEnd w:id="1"/>
    </w:p>
    <w:p>
      <w:pPr>
        <w:pStyle w:val="Normal"/>
        <w:spacing w:lineRule="auto" w:line="360" w:before="0" w:after="0"/>
        <w:rPr>
          <w:rFonts w:ascii="Times New Roman" w:hAnsi="Times New Roman" w:eastAsia="Times New Roman" w:cs="Times New Roman"/>
          <w:i/>
          <w:i/>
          <w:sz w:val="28"/>
          <w:szCs w:val="28"/>
          <w:lang w:val="en-US" w:eastAsia="bg-BG"/>
        </w:rPr>
      </w:pPr>
      <w:r>
        <w:rPr>
          <w:rFonts w:eastAsia="Times New Roman" w:cs="Times New Roman" w:ascii="Times New Roman" w:hAnsi="Times New Roman"/>
          <w:i/>
          <w:sz w:val="28"/>
          <w:szCs w:val="28"/>
          <w:lang w:val="en-US" w:eastAsia="bg-BG"/>
        </w:rPr>
      </w:r>
    </w:p>
    <w:p>
      <w:pPr>
        <w:pStyle w:val="Normal"/>
        <w:spacing w:lineRule="auto" w:line="360" w:before="0" w:after="0"/>
        <w:rPr>
          <w:rFonts w:ascii="Times New Roman" w:hAnsi="Times New Roman" w:eastAsia="Times New Roman" w:cs="Times New Roman"/>
          <w:i/>
          <w:i/>
          <w:sz w:val="24"/>
          <w:szCs w:val="24"/>
          <w:lang w:val="en-US" w:eastAsia="bg-BG"/>
        </w:rPr>
      </w:pPr>
      <w:r>
        <w:rPr>
          <w:rFonts w:eastAsia="Times New Roman" w:cs="Times New Roman" w:ascii="Times New Roman" w:hAnsi="Times New Roman"/>
          <w:i/>
          <w:sz w:val="24"/>
          <w:szCs w:val="24"/>
          <w:lang w:val="en-US" w:eastAsia="bg-BG"/>
        </w:rPr>
      </w:r>
    </w:p>
    <w:p>
      <w:pPr>
        <w:pStyle w:val="Normal"/>
        <w:spacing w:lineRule="auto" w:line="360" w:before="0" w:after="100"/>
        <w:jc w:val="center"/>
        <w:rPr>
          <w:rFonts w:ascii="Times New Roman" w:hAnsi="Times New Roman" w:eastAsia="Times New Roman" w:cs="Times New Roman"/>
          <w:sz w:val="28"/>
          <w:szCs w:val="28"/>
          <w:lang w:eastAsia="bg-BG"/>
        </w:rPr>
      </w:pPr>
      <w:r>
        <w:rPr>
          <w:rFonts w:eastAsia="Times New Roman" w:cs="Times New Roman" w:ascii="Times New Roman" w:hAnsi="Times New Roman"/>
          <w:sz w:val="28"/>
          <w:szCs w:val="28"/>
          <w:lang w:eastAsia="bg-BG"/>
        </w:rPr>
      </w:r>
    </w:p>
    <w:p>
      <w:pPr>
        <w:pStyle w:val="Normal"/>
        <w:spacing w:lineRule="auto" w:line="360" w:before="0" w:after="100"/>
        <w:jc w:val="center"/>
        <w:rPr>
          <w:rFonts w:ascii="Times New Roman" w:hAnsi="Times New Roman" w:eastAsia="Times New Roman" w:cs="Times New Roman"/>
          <w:sz w:val="28"/>
          <w:szCs w:val="28"/>
          <w:lang w:eastAsia="bg-BG"/>
        </w:rPr>
      </w:pPr>
      <w:r>
        <w:rPr>
          <w:rFonts w:eastAsia="Times New Roman" w:cs="Times New Roman" w:ascii="Times New Roman" w:hAnsi="Times New Roman"/>
          <w:sz w:val="28"/>
          <w:szCs w:val="28"/>
          <w:lang w:eastAsia="bg-BG"/>
        </w:rPr>
      </w:r>
    </w:p>
    <w:p>
      <w:pPr>
        <w:pStyle w:val="Normal"/>
        <w:spacing w:lineRule="auto" w:line="360" w:before="0" w:after="100"/>
        <w:jc w:val="center"/>
        <w:rPr>
          <w:rFonts w:ascii="Times New Roman" w:hAnsi="Times New Roman" w:eastAsia="Times New Roman" w:cs="Times New Roman"/>
          <w:sz w:val="24"/>
          <w:lang w:eastAsia="bg-BG"/>
        </w:rPr>
      </w:pPr>
      <w:r>
        <w:rPr>
          <w:rFonts w:eastAsia="Times New Roman" w:cs="Times New Roman" w:ascii="Times New Roman" w:hAnsi="Times New Roman"/>
          <w:sz w:val="28"/>
          <w:szCs w:val="28"/>
          <w:lang w:eastAsia="bg-BG"/>
        </w:rPr>
        <w:t>София, 2017 г</w:t>
      </w:r>
      <w:r>
        <w:rPr>
          <w:rFonts w:eastAsia="Times New Roman" w:cs="Times New Roman" w:ascii="Times New Roman" w:hAnsi="Times New Roman"/>
          <w:sz w:val="24"/>
          <w:lang w:eastAsia="bg-BG"/>
        </w:rPr>
        <w:t>.</w:t>
      </w:r>
    </w:p>
    <w:p>
      <w:pPr>
        <w:pStyle w:val="Normal"/>
        <w:jc w:val="center"/>
        <w:rPr>
          <w:rFonts w:ascii="Times New Roman" w:hAnsi="Times New Roman" w:eastAsia="Times New Roman" w:cs="Times New Roman"/>
          <w:i/>
          <w:i/>
          <w:sz w:val="32"/>
          <w:szCs w:val="32"/>
          <w:lang w:eastAsia="bg-BG"/>
        </w:rPr>
      </w:pPr>
      <w:r>
        <w:rPr>
          <w:rFonts w:eastAsia="Times New Roman" w:cs="Times New Roman" w:ascii="Times New Roman" w:hAnsi="Times New Roman"/>
          <w:i/>
          <w:sz w:val="32"/>
          <w:szCs w:val="32"/>
          <w:lang w:eastAsia="bg-BG"/>
        </w:rPr>
        <w:t>Съдържание:</w:t>
      </w:r>
    </w:p>
    <w:p>
      <w:pPr>
        <w:pStyle w:val="Normal"/>
        <w:jc w:val="both"/>
        <w:rPr>
          <w:rFonts w:ascii="Times New Roman" w:hAnsi="Times New Roman" w:eastAsia="Times New Roman" w:cs="Times New Roman"/>
          <w:sz w:val="32"/>
          <w:szCs w:val="32"/>
          <w:lang w:eastAsia="bg-BG"/>
        </w:rPr>
      </w:pPr>
      <w:r>
        <w:rPr>
          <w:rFonts w:eastAsia="Times New Roman" w:cs="Times New Roman" w:ascii="Times New Roman" w:hAnsi="Times New Roman"/>
          <w:sz w:val="32"/>
          <w:szCs w:val="32"/>
          <w:lang w:eastAsia="bg-BG"/>
        </w:rPr>
      </w:r>
    </w:p>
    <w:p>
      <w:pPr>
        <w:pStyle w:val="Normal"/>
        <w:rPr>
          <w:rFonts w:ascii="Times New Roman" w:hAnsi="Times New Roman" w:eastAsia="Times New Roman" w:cs="Times New Roman"/>
          <w:sz w:val="26"/>
          <w:szCs w:val="26"/>
          <w:lang w:eastAsia="bg-BG"/>
        </w:rPr>
      </w:pPr>
      <w:r>
        <w:rPr>
          <w:rFonts w:eastAsia="Times New Roman" w:cs="Times New Roman" w:ascii="Times New Roman" w:hAnsi="Times New Roman"/>
          <w:sz w:val="26"/>
          <w:szCs w:val="26"/>
          <w:lang w:eastAsia="bg-BG"/>
        </w:rPr>
        <w:t>Концепция за либерализиране на пазара на електроенергия.........................3 стр.</w:t>
      </w:r>
    </w:p>
    <w:p>
      <w:pPr>
        <w:pStyle w:val="Normal"/>
        <w:rPr>
          <w:rFonts w:ascii="Times New Roman" w:hAnsi="Times New Roman" w:eastAsia="Times New Roman" w:cs="Times New Roman"/>
          <w:sz w:val="26"/>
          <w:szCs w:val="26"/>
          <w:lang w:eastAsia="bg-BG"/>
        </w:rPr>
      </w:pPr>
      <w:r>
        <w:rPr>
          <w:rFonts w:eastAsia="Times New Roman" w:cs="Times New Roman" w:ascii="Times New Roman" w:hAnsi="Times New Roman"/>
          <w:sz w:val="26"/>
          <w:szCs w:val="26"/>
          <w:lang w:eastAsia="bg-BG"/>
        </w:rPr>
        <w:t>Схема на регулиран и либерализиран пазар на електроенергия в България..............................................................................................................5 стр.</w:t>
      </w:r>
    </w:p>
    <w:p>
      <w:pPr>
        <w:pStyle w:val="Normal"/>
        <w:rPr>
          <w:rFonts w:ascii="Times New Roman" w:hAnsi="Times New Roman" w:eastAsia="Times New Roman" w:cs="Times New Roman"/>
          <w:sz w:val="26"/>
          <w:szCs w:val="26"/>
          <w:lang w:eastAsia="bg-BG"/>
        </w:rPr>
      </w:pPr>
      <w:r>
        <w:rPr>
          <w:rFonts w:eastAsia="Times New Roman" w:cs="Times New Roman" w:ascii="Times New Roman" w:hAnsi="Times New Roman"/>
          <w:sz w:val="26"/>
          <w:szCs w:val="26"/>
          <w:lang w:eastAsia="bg-BG"/>
        </w:rPr>
        <w:t>Структура на електроенергийния пазар в България.......................................6 стр.</w:t>
      </w:r>
    </w:p>
    <w:p>
      <w:pPr>
        <w:pStyle w:val="Normal"/>
        <w:rPr>
          <w:rFonts w:ascii="Times New Roman" w:hAnsi="Times New Roman" w:eastAsia="Times New Roman" w:cs="Times New Roman"/>
          <w:sz w:val="26"/>
          <w:szCs w:val="26"/>
          <w:lang w:eastAsia="bg-BG"/>
        </w:rPr>
      </w:pPr>
      <w:r>
        <w:rPr>
          <w:rFonts w:eastAsia="Times New Roman" w:cs="Times New Roman" w:ascii="Times New Roman" w:hAnsi="Times New Roman"/>
          <w:sz w:val="26"/>
          <w:szCs w:val="26"/>
          <w:lang w:eastAsia="bg-BG"/>
        </w:rPr>
        <w:t>Ползи от либерализицията на пазара на електроенергия...............................7 стр.</w:t>
      </w:r>
    </w:p>
    <w:p>
      <w:pPr>
        <w:pStyle w:val="Normal"/>
        <w:rPr>
          <w:rFonts w:ascii="Times New Roman" w:hAnsi="Times New Roman" w:eastAsia="Times New Roman" w:cs="Times New Roman"/>
          <w:sz w:val="26"/>
          <w:szCs w:val="26"/>
          <w:lang w:eastAsia="bg-BG"/>
        </w:rPr>
      </w:pPr>
      <w:r>
        <w:rPr>
          <w:rFonts w:eastAsia="Times New Roman" w:cs="Times New Roman" w:ascii="Times New Roman" w:hAnsi="Times New Roman"/>
          <w:sz w:val="26"/>
          <w:szCs w:val="26"/>
          <w:lang w:eastAsia="bg-BG"/>
        </w:rPr>
        <w:t>Рискове от либерализацията на пазара на електроенергия............................8 стр.</w:t>
      </w:r>
    </w:p>
    <w:p>
      <w:pPr>
        <w:pStyle w:val="Normal"/>
        <w:rPr>
          <w:rFonts w:ascii="Times New Roman" w:hAnsi="Times New Roman" w:eastAsia="Times New Roman" w:cs="Times New Roman"/>
          <w:sz w:val="26"/>
          <w:szCs w:val="26"/>
          <w:lang w:eastAsia="bg-BG"/>
        </w:rPr>
      </w:pPr>
      <w:r>
        <w:rPr>
          <w:rFonts w:eastAsia="Times New Roman" w:cs="Times New Roman" w:ascii="Times New Roman" w:hAnsi="Times New Roman"/>
          <w:sz w:val="26"/>
          <w:szCs w:val="26"/>
          <w:lang w:eastAsia="bg-BG"/>
        </w:rPr>
        <w:t>Заключение........................................................................................................</w:t>
      </w:r>
      <w:r>
        <w:rPr>
          <w:rFonts w:eastAsia="Times New Roman" w:cs="Times New Roman" w:ascii="Times New Roman" w:hAnsi="Times New Roman"/>
          <w:sz w:val="26"/>
          <w:szCs w:val="26"/>
          <w:lang w:val="en-US" w:eastAsia="bg-BG"/>
        </w:rPr>
        <w:t>.9</w:t>
      </w:r>
      <w:r>
        <w:rPr>
          <w:rFonts w:eastAsia="Times New Roman" w:cs="Times New Roman" w:ascii="Times New Roman" w:hAnsi="Times New Roman"/>
          <w:sz w:val="26"/>
          <w:szCs w:val="26"/>
          <w:lang w:eastAsia="bg-BG"/>
        </w:rPr>
        <w:t xml:space="preserve"> стр.</w:t>
      </w:r>
    </w:p>
    <w:p>
      <w:pPr>
        <w:pStyle w:val="Normal"/>
        <w:rPr>
          <w:rFonts w:ascii="Times New Roman" w:hAnsi="Times New Roman" w:eastAsia="Times New Roman" w:cs="Times New Roman"/>
          <w:sz w:val="26"/>
          <w:szCs w:val="26"/>
          <w:lang w:eastAsia="bg-BG"/>
        </w:rPr>
      </w:pPr>
      <w:r>
        <w:rPr>
          <w:rFonts w:eastAsia="Times New Roman" w:cs="Times New Roman" w:ascii="Times New Roman" w:hAnsi="Times New Roman"/>
          <w:sz w:val="26"/>
          <w:szCs w:val="26"/>
          <w:lang w:eastAsia="bg-BG"/>
        </w:rPr>
        <w:t>Източници.........................................................................................................10 стр.</w:t>
      </w:r>
    </w:p>
    <w:p>
      <w:pPr>
        <w:pStyle w:val="Normal"/>
        <w:jc w:val="both"/>
        <w:rPr>
          <w:rFonts w:ascii="Times New Roman" w:hAnsi="Times New Roman" w:eastAsia="Times New Roman" w:cs="Times New Roman"/>
          <w:sz w:val="26"/>
          <w:szCs w:val="26"/>
          <w:lang w:val="en-US" w:eastAsia="bg-BG"/>
        </w:rPr>
      </w:pPr>
      <w:r>
        <w:rPr>
          <w:rFonts w:eastAsia="Times New Roman" w:cs="Times New Roman" w:ascii="Times New Roman" w:hAnsi="Times New Roman"/>
          <w:sz w:val="26"/>
          <w:szCs w:val="26"/>
          <w:lang w:val="en-US" w:eastAsia="bg-BG"/>
        </w:rPr>
      </w:r>
    </w:p>
    <w:p>
      <w:pPr>
        <w:pStyle w:val="Normal"/>
        <w:jc w:val="both"/>
        <w:rPr>
          <w:rFonts w:ascii="Times New Roman" w:hAnsi="Times New Roman" w:eastAsia="Times New Roman" w:cs="Times New Roman"/>
          <w:sz w:val="26"/>
          <w:szCs w:val="26"/>
          <w:lang w:val="en-US" w:eastAsia="bg-BG"/>
        </w:rPr>
      </w:pPr>
      <w:r>
        <w:rPr>
          <w:rFonts w:eastAsia="Times New Roman" w:cs="Times New Roman" w:ascii="Times New Roman" w:hAnsi="Times New Roman"/>
          <w:sz w:val="26"/>
          <w:szCs w:val="26"/>
          <w:lang w:val="en-US" w:eastAsia="bg-BG"/>
        </w:rPr>
      </w:r>
    </w:p>
    <w:p>
      <w:pPr>
        <w:pStyle w:val="Normal"/>
        <w:jc w:val="both"/>
        <w:rPr>
          <w:rFonts w:ascii="Times New Roman" w:hAnsi="Times New Roman" w:eastAsia="Times New Roman" w:cs="Times New Roman"/>
          <w:sz w:val="26"/>
          <w:szCs w:val="26"/>
          <w:lang w:val="en-US" w:eastAsia="bg-BG"/>
        </w:rPr>
      </w:pPr>
      <w:r>
        <w:rPr>
          <w:rFonts w:eastAsia="Times New Roman" w:cs="Times New Roman" w:ascii="Times New Roman" w:hAnsi="Times New Roman"/>
          <w:sz w:val="26"/>
          <w:szCs w:val="26"/>
          <w:lang w:val="en-US" w:eastAsia="bg-BG"/>
        </w:rPr>
      </w:r>
    </w:p>
    <w:p>
      <w:pPr>
        <w:pStyle w:val="Normal"/>
        <w:jc w:val="both"/>
        <w:rPr>
          <w:rFonts w:ascii="Times New Roman" w:hAnsi="Times New Roman" w:eastAsia="Times New Roman" w:cs="Times New Roman"/>
          <w:sz w:val="26"/>
          <w:szCs w:val="26"/>
          <w:lang w:val="en-US" w:eastAsia="bg-BG"/>
        </w:rPr>
      </w:pPr>
      <w:r>
        <w:rPr>
          <w:rFonts w:eastAsia="Times New Roman" w:cs="Times New Roman" w:ascii="Times New Roman" w:hAnsi="Times New Roman"/>
          <w:sz w:val="26"/>
          <w:szCs w:val="26"/>
          <w:lang w:val="en-US" w:eastAsia="bg-BG"/>
        </w:rPr>
      </w:r>
    </w:p>
    <w:p>
      <w:pPr>
        <w:pStyle w:val="Normal"/>
        <w:jc w:val="both"/>
        <w:rPr>
          <w:rFonts w:ascii="Times New Roman" w:hAnsi="Times New Roman" w:eastAsia="Times New Roman" w:cs="Times New Roman"/>
          <w:sz w:val="26"/>
          <w:szCs w:val="26"/>
          <w:lang w:val="en-US" w:eastAsia="bg-BG"/>
        </w:rPr>
      </w:pPr>
      <w:r>
        <w:rPr>
          <w:rFonts w:eastAsia="Times New Roman" w:cs="Times New Roman" w:ascii="Times New Roman" w:hAnsi="Times New Roman"/>
          <w:sz w:val="26"/>
          <w:szCs w:val="26"/>
          <w:lang w:val="en-US" w:eastAsia="bg-BG"/>
        </w:rPr>
      </w:r>
    </w:p>
    <w:p>
      <w:pPr>
        <w:pStyle w:val="Normal"/>
        <w:jc w:val="both"/>
        <w:rPr>
          <w:rFonts w:ascii="Times New Roman" w:hAnsi="Times New Roman" w:eastAsia="Times New Roman" w:cs="Times New Roman"/>
          <w:sz w:val="26"/>
          <w:szCs w:val="26"/>
          <w:lang w:val="en-US" w:eastAsia="bg-BG"/>
        </w:rPr>
      </w:pPr>
      <w:r>
        <w:rPr>
          <w:rFonts w:eastAsia="Times New Roman" w:cs="Times New Roman" w:ascii="Times New Roman" w:hAnsi="Times New Roman"/>
          <w:sz w:val="26"/>
          <w:szCs w:val="26"/>
          <w:lang w:val="en-US" w:eastAsia="bg-BG"/>
        </w:rPr>
      </w:r>
    </w:p>
    <w:p>
      <w:pPr>
        <w:pStyle w:val="Normal"/>
        <w:jc w:val="both"/>
        <w:rPr>
          <w:rFonts w:ascii="Times New Roman" w:hAnsi="Times New Roman" w:eastAsia="Times New Roman" w:cs="Times New Roman"/>
          <w:sz w:val="26"/>
          <w:szCs w:val="26"/>
          <w:lang w:val="en-US" w:eastAsia="bg-BG"/>
        </w:rPr>
      </w:pPr>
      <w:r>
        <w:rPr>
          <w:rFonts w:eastAsia="Times New Roman" w:cs="Times New Roman" w:ascii="Times New Roman" w:hAnsi="Times New Roman"/>
          <w:sz w:val="26"/>
          <w:szCs w:val="26"/>
          <w:lang w:val="en-US" w:eastAsia="bg-BG"/>
        </w:rPr>
      </w:r>
    </w:p>
    <w:p>
      <w:pPr>
        <w:pStyle w:val="Normal"/>
        <w:jc w:val="both"/>
        <w:rPr>
          <w:rFonts w:ascii="Times New Roman" w:hAnsi="Times New Roman" w:eastAsia="Times New Roman" w:cs="Times New Roman"/>
          <w:sz w:val="26"/>
          <w:szCs w:val="26"/>
          <w:lang w:val="en-US" w:eastAsia="bg-BG"/>
        </w:rPr>
      </w:pPr>
      <w:r>
        <w:rPr>
          <w:rFonts w:eastAsia="Times New Roman" w:cs="Times New Roman" w:ascii="Times New Roman" w:hAnsi="Times New Roman"/>
          <w:sz w:val="26"/>
          <w:szCs w:val="26"/>
          <w:lang w:val="en-US" w:eastAsia="bg-BG"/>
        </w:rPr>
      </w:r>
    </w:p>
    <w:p>
      <w:pPr>
        <w:pStyle w:val="Normal"/>
        <w:jc w:val="both"/>
        <w:rPr>
          <w:rFonts w:ascii="Times New Roman" w:hAnsi="Times New Roman" w:eastAsia="Times New Roman" w:cs="Times New Roman"/>
          <w:sz w:val="26"/>
          <w:szCs w:val="26"/>
          <w:lang w:val="en-US" w:eastAsia="bg-BG"/>
        </w:rPr>
      </w:pPr>
      <w:r>
        <w:rPr>
          <w:rFonts w:eastAsia="Times New Roman" w:cs="Times New Roman" w:ascii="Times New Roman" w:hAnsi="Times New Roman"/>
          <w:sz w:val="26"/>
          <w:szCs w:val="26"/>
          <w:lang w:val="en-US" w:eastAsia="bg-BG"/>
        </w:rPr>
      </w:r>
    </w:p>
    <w:p>
      <w:pPr>
        <w:pStyle w:val="Normal"/>
        <w:jc w:val="both"/>
        <w:rPr>
          <w:rFonts w:ascii="Times New Roman" w:hAnsi="Times New Roman" w:eastAsia="Times New Roman" w:cs="Times New Roman"/>
          <w:sz w:val="26"/>
          <w:szCs w:val="26"/>
          <w:lang w:val="en-US" w:eastAsia="bg-BG"/>
        </w:rPr>
      </w:pPr>
      <w:r>
        <w:rPr>
          <w:rFonts w:eastAsia="Times New Roman" w:cs="Times New Roman" w:ascii="Times New Roman" w:hAnsi="Times New Roman"/>
          <w:sz w:val="26"/>
          <w:szCs w:val="26"/>
          <w:lang w:val="en-US" w:eastAsia="bg-BG"/>
        </w:rPr>
      </w:r>
    </w:p>
    <w:p>
      <w:pPr>
        <w:pStyle w:val="Normal"/>
        <w:jc w:val="both"/>
        <w:rPr>
          <w:rFonts w:ascii="Times New Roman" w:hAnsi="Times New Roman" w:eastAsia="Times New Roman" w:cs="Times New Roman"/>
          <w:sz w:val="26"/>
          <w:szCs w:val="26"/>
          <w:lang w:val="en-US" w:eastAsia="bg-BG"/>
        </w:rPr>
      </w:pPr>
      <w:r>
        <w:rPr>
          <w:rFonts w:eastAsia="Times New Roman" w:cs="Times New Roman" w:ascii="Times New Roman" w:hAnsi="Times New Roman"/>
          <w:sz w:val="26"/>
          <w:szCs w:val="26"/>
          <w:lang w:val="en-US" w:eastAsia="bg-BG"/>
        </w:rPr>
      </w:r>
    </w:p>
    <w:p>
      <w:pPr>
        <w:pStyle w:val="Normal"/>
        <w:jc w:val="both"/>
        <w:rPr>
          <w:rFonts w:ascii="Times New Roman" w:hAnsi="Times New Roman" w:eastAsia="Times New Roman" w:cs="Times New Roman"/>
          <w:sz w:val="26"/>
          <w:szCs w:val="26"/>
          <w:lang w:val="en-US" w:eastAsia="bg-BG"/>
        </w:rPr>
      </w:pPr>
      <w:r>
        <w:rPr>
          <w:rFonts w:eastAsia="Times New Roman" w:cs="Times New Roman" w:ascii="Times New Roman" w:hAnsi="Times New Roman"/>
          <w:sz w:val="26"/>
          <w:szCs w:val="26"/>
          <w:lang w:val="en-US" w:eastAsia="bg-BG"/>
        </w:rPr>
      </w:r>
    </w:p>
    <w:p>
      <w:pPr>
        <w:pStyle w:val="Normal"/>
        <w:jc w:val="both"/>
        <w:rPr>
          <w:rFonts w:ascii="Times New Roman" w:hAnsi="Times New Roman" w:eastAsia="Times New Roman" w:cs="Times New Roman"/>
          <w:sz w:val="26"/>
          <w:szCs w:val="26"/>
          <w:lang w:val="en-US" w:eastAsia="bg-BG"/>
        </w:rPr>
      </w:pPr>
      <w:r>
        <w:rPr>
          <w:rFonts w:eastAsia="Times New Roman" w:cs="Times New Roman" w:ascii="Times New Roman" w:hAnsi="Times New Roman"/>
          <w:sz w:val="26"/>
          <w:szCs w:val="26"/>
          <w:lang w:val="en-US" w:eastAsia="bg-BG"/>
        </w:rPr>
      </w:r>
    </w:p>
    <w:p>
      <w:pPr>
        <w:pStyle w:val="Normal"/>
        <w:jc w:val="both"/>
        <w:rPr>
          <w:rFonts w:ascii="Times New Roman" w:hAnsi="Times New Roman" w:eastAsia="Times New Roman" w:cs="Times New Roman"/>
          <w:sz w:val="26"/>
          <w:szCs w:val="26"/>
          <w:lang w:eastAsia="bg-BG"/>
        </w:rPr>
      </w:pPr>
      <w:r>
        <w:rPr>
          <w:rFonts w:eastAsia="Times New Roman" w:cs="Times New Roman" w:ascii="Times New Roman" w:hAnsi="Times New Roman"/>
          <w:sz w:val="26"/>
          <w:szCs w:val="26"/>
          <w:lang w:eastAsia="bg-BG"/>
        </w:rPr>
      </w:r>
    </w:p>
    <w:p>
      <w:pPr>
        <w:pStyle w:val="Normal"/>
        <w:jc w:val="both"/>
        <w:rPr>
          <w:rFonts w:ascii="Times New Roman" w:hAnsi="Times New Roman" w:eastAsia="Times New Roman" w:cs="Times New Roman"/>
          <w:sz w:val="26"/>
          <w:szCs w:val="26"/>
          <w:lang w:eastAsia="bg-BG"/>
        </w:rPr>
      </w:pPr>
      <w:r>
        <w:rPr>
          <w:rFonts w:eastAsia="Times New Roman" w:cs="Times New Roman" w:ascii="Times New Roman" w:hAnsi="Times New Roman"/>
          <w:sz w:val="26"/>
          <w:szCs w:val="26"/>
          <w:lang w:eastAsia="bg-BG"/>
        </w:rPr>
      </w:r>
    </w:p>
    <w:p>
      <w:pPr>
        <w:pStyle w:val="Normal"/>
        <w:jc w:val="both"/>
        <w:rPr>
          <w:rFonts w:ascii="Times New Roman" w:hAnsi="Times New Roman" w:eastAsia="Times New Roman" w:cs="Times New Roman"/>
          <w:sz w:val="26"/>
          <w:szCs w:val="26"/>
          <w:lang w:eastAsia="bg-BG"/>
        </w:rPr>
      </w:pPr>
      <w:r>
        <w:rPr>
          <w:rFonts w:eastAsia="Times New Roman" w:cs="Times New Roman" w:ascii="Times New Roman" w:hAnsi="Times New Roman"/>
          <w:sz w:val="26"/>
          <w:szCs w:val="26"/>
          <w:lang w:eastAsia="bg-BG"/>
        </w:rPr>
      </w:r>
    </w:p>
    <w:p>
      <w:pPr>
        <w:pStyle w:val="Normal"/>
        <w:jc w:val="center"/>
        <w:rPr>
          <w:rFonts w:ascii="Times New Roman" w:hAnsi="Times New Roman" w:cs="Times New Roman"/>
          <w:sz w:val="32"/>
          <w:szCs w:val="32"/>
        </w:rPr>
      </w:pPr>
      <w:r>
        <w:rPr>
          <w:rFonts w:cs="Times New Roman" w:ascii="Times New Roman" w:hAnsi="Times New Roman"/>
          <w:sz w:val="32"/>
          <w:szCs w:val="32"/>
        </w:rPr>
        <w:t>Концепция за либерализиране на пазара на електроенергия</w:t>
      </w:r>
    </w:p>
    <w:p>
      <w:pPr>
        <w:pStyle w:val="Normal"/>
        <w:jc w:val="both"/>
        <w:rPr>
          <w:rFonts w:ascii="Times New Roman" w:hAnsi="Times New Roman" w:cs="Times New Roman"/>
          <w:sz w:val="24"/>
          <w:szCs w:val="24"/>
          <w:lang w:val="en-US"/>
        </w:rPr>
      </w:pPr>
      <w:r>
        <w:rPr>
          <w:rFonts w:cs="Times New Roman" w:ascii="Times New Roman" w:hAnsi="Times New Roman"/>
          <w:sz w:val="24"/>
          <w:szCs w:val="24"/>
          <w:lang w:val="en-US"/>
        </w:rPr>
      </w:r>
    </w:p>
    <w:p>
      <w:pPr>
        <w:pStyle w:val="Normal"/>
        <w:jc w:val="both"/>
        <w:rPr>
          <w:rFonts w:ascii="Times New Roman" w:hAnsi="Times New Roman" w:cs="Times New Roman"/>
          <w:sz w:val="26"/>
          <w:szCs w:val="26"/>
        </w:rPr>
      </w:pPr>
      <w:r>
        <w:rPr>
          <w:rFonts w:cs="Times New Roman" w:ascii="Times New Roman" w:hAnsi="Times New Roman"/>
          <w:sz w:val="26"/>
          <w:szCs w:val="26"/>
        </w:rPr>
        <w:t>Европейският съюз играе основна роля в либерализацията на пазара на електроенергия като приема директиви и закони, които да бъдат приложени в националното законодателство. Съвременните изисквания на ЕС в областта на енергетиката се съдържат главно в няколко пакета законодателни актове: Трети енергиен пакет, Пакет „Енергия – климат“, Директива за насърчаване на възобновяемата енергия, Директива за енергийната ефективност, Директива за емисиите от големи индустриални инсталации и Стратегия за декарбонизация на енергетиката до 2050</w:t>
      </w:r>
      <w:r>
        <w:rPr>
          <w:rFonts w:cs="Times New Roman" w:ascii="Times New Roman" w:hAnsi="Times New Roman"/>
          <w:sz w:val="26"/>
          <w:szCs w:val="26"/>
          <w:lang w:val="en-US"/>
        </w:rPr>
        <w:t xml:space="preserve"> </w:t>
      </w:r>
      <w:r>
        <w:rPr>
          <w:rFonts w:cs="Times New Roman" w:ascii="Times New Roman" w:hAnsi="Times New Roman"/>
          <w:sz w:val="26"/>
          <w:szCs w:val="26"/>
        </w:rPr>
        <w:t>г.</w:t>
      </w:r>
    </w:p>
    <w:p>
      <w:pPr>
        <w:pStyle w:val="Normal"/>
        <w:jc w:val="both"/>
        <w:rPr>
          <w:rFonts w:ascii="Times New Roman" w:hAnsi="Times New Roman" w:cs="Times New Roman"/>
          <w:sz w:val="26"/>
          <w:szCs w:val="26"/>
        </w:rPr>
      </w:pPr>
      <w:r>
        <w:rPr>
          <w:rFonts w:cs="Times New Roman" w:ascii="Times New Roman" w:hAnsi="Times New Roman"/>
          <w:sz w:val="26"/>
          <w:szCs w:val="26"/>
        </w:rPr>
      </w:r>
    </w:p>
    <w:p>
      <w:pPr>
        <w:pStyle w:val="Normal"/>
        <w:jc w:val="both"/>
        <w:rPr>
          <w:rFonts w:ascii="Times New Roman" w:hAnsi="Times New Roman" w:cs="Times New Roman"/>
          <w:sz w:val="26"/>
          <w:szCs w:val="26"/>
        </w:rPr>
      </w:pPr>
      <w:r>
        <w:rPr>
          <w:rFonts w:cs="Times New Roman" w:ascii="Times New Roman" w:hAnsi="Times New Roman"/>
          <w:sz w:val="26"/>
          <w:szCs w:val="26"/>
        </w:rPr>
        <w:t>Стъпки за либерализиране на пазара на електроенергия:</w:t>
      </w:r>
    </w:p>
    <w:p>
      <w:pPr>
        <w:pStyle w:val="ListParagraph"/>
        <w:numPr>
          <w:ilvl w:val="0"/>
          <w:numId w:val="1"/>
        </w:numPr>
        <w:jc w:val="both"/>
        <w:rPr>
          <w:rFonts w:ascii="Times New Roman" w:hAnsi="Times New Roman" w:cs="Times New Roman"/>
          <w:sz w:val="26"/>
          <w:szCs w:val="26"/>
        </w:rPr>
      </w:pPr>
      <w:r>
        <w:rPr>
          <w:rFonts w:cs="Times New Roman" w:ascii="Times New Roman" w:hAnsi="Times New Roman"/>
          <w:sz w:val="26"/>
          <w:szCs w:val="26"/>
        </w:rPr>
        <w:t>Разделяне на производителите и доставчиците на енергия от операторите на преносни системи:</w:t>
      </w:r>
    </w:p>
    <w:p>
      <w:pPr>
        <w:pStyle w:val="ListParagraph"/>
        <w:numPr>
          <w:ilvl w:val="0"/>
          <w:numId w:val="2"/>
        </w:numPr>
        <w:jc w:val="both"/>
        <w:rPr>
          <w:rFonts w:ascii="Times New Roman" w:hAnsi="Times New Roman" w:cs="Times New Roman"/>
          <w:sz w:val="26"/>
          <w:szCs w:val="26"/>
        </w:rPr>
      </w:pPr>
      <w:r>
        <w:rPr>
          <w:rFonts w:cs="Times New Roman" w:ascii="Times New Roman" w:hAnsi="Times New Roman"/>
          <w:sz w:val="26"/>
          <w:szCs w:val="26"/>
        </w:rPr>
        <w:t>пълно отделяне на собствеността върху преносната инфраструктура;</w:t>
      </w:r>
    </w:p>
    <w:p>
      <w:pPr>
        <w:pStyle w:val="ListParagraph"/>
        <w:numPr>
          <w:ilvl w:val="0"/>
          <w:numId w:val="2"/>
        </w:numPr>
        <w:jc w:val="both"/>
        <w:rPr>
          <w:rFonts w:ascii="Times New Roman" w:hAnsi="Times New Roman" w:cs="Times New Roman"/>
          <w:sz w:val="26"/>
          <w:szCs w:val="26"/>
        </w:rPr>
      </w:pPr>
      <w:r>
        <w:rPr>
          <w:rFonts w:cs="Times New Roman" w:ascii="Times New Roman" w:hAnsi="Times New Roman"/>
          <w:sz w:val="26"/>
          <w:szCs w:val="26"/>
        </w:rPr>
        <w:t>създаване на независим оператор на система;</w:t>
      </w:r>
    </w:p>
    <w:p>
      <w:pPr>
        <w:pStyle w:val="ListParagraph"/>
        <w:numPr>
          <w:ilvl w:val="0"/>
          <w:numId w:val="2"/>
        </w:numPr>
        <w:jc w:val="both"/>
        <w:rPr>
          <w:rFonts w:ascii="Times New Roman" w:hAnsi="Times New Roman" w:cs="Times New Roman"/>
          <w:sz w:val="26"/>
          <w:szCs w:val="26"/>
        </w:rPr>
      </w:pPr>
      <w:r>
        <w:rPr>
          <w:rFonts w:cs="Times New Roman" w:ascii="Times New Roman" w:hAnsi="Times New Roman"/>
          <w:sz w:val="26"/>
          <w:szCs w:val="26"/>
        </w:rPr>
        <w:t>създаване на независим преносен оператор.</w:t>
      </w:r>
    </w:p>
    <w:p>
      <w:pPr>
        <w:pStyle w:val="ListParagraph"/>
        <w:jc w:val="both"/>
        <w:rPr>
          <w:rFonts w:ascii="Times New Roman" w:hAnsi="Times New Roman" w:cs="Times New Roman"/>
          <w:sz w:val="26"/>
          <w:szCs w:val="26"/>
        </w:rPr>
      </w:pPr>
      <w:r>
        <w:rPr>
          <w:rFonts w:cs="Times New Roman" w:ascii="Times New Roman" w:hAnsi="Times New Roman"/>
          <w:sz w:val="26"/>
          <w:szCs w:val="26"/>
        </w:rPr>
      </w:r>
    </w:p>
    <w:p>
      <w:pPr>
        <w:pStyle w:val="ListParagraph"/>
        <w:numPr>
          <w:ilvl w:val="0"/>
          <w:numId w:val="1"/>
        </w:numPr>
        <w:jc w:val="both"/>
        <w:rPr>
          <w:rFonts w:ascii="Times New Roman" w:hAnsi="Times New Roman" w:cs="Times New Roman"/>
          <w:sz w:val="26"/>
          <w:szCs w:val="26"/>
        </w:rPr>
      </w:pPr>
      <w:r>
        <w:rPr>
          <w:rFonts w:cs="Times New Roman" w:ascii="Times New Roman" w:hAnsi="Times New Roman"/>
          <w:sz w:val="26"/>
          <w:szCs w:val="26"/>
        </w:rPr>
        <w:t>По-големи права за потребителите:</w:t>
      </w:r>
    </w:p>
    <w:p>
      <w:pPr>
        <w:pStyle w:val="ListParagraph"/>
        <w:numPr>
          <w:ilvl w:val="0"/>
          <w:numId w:val="3"/>
        </w:numPr>
        <w:jc w:val="both"/>
        <w:rPr>
          <w:rFonts w:ascii="Times New Roman" w:hAnsi="Times New Roman" w:cs="Times New Roman"/>
          <w:sz w:val="26"/>
          <w:szCs w:val="26"/>
        </w:rPr>
      </w:pPr>
      <w:r>
        <w:rPr>
          <w:rFonts w:cs="Times New Roman" w:ascii="Times New Roman" w:hAnsi="Times New Roman"/>
          <w:sz w:val="26"/>
          <w:szCs w:val="26"/>
        </w:rPr>
        <w:t>да сменят своя доставчик на газ или електричество в рамките на три седмици и без допълнителни такси;</w:t>
      </w:r>
    </w:p>
    <w:p>
      <w:pPr>
        <w:pStyle w:val="ListParagraph"/>
        <w:numPr>
          <w:ilvl w:val="0"/>
          <w:numId w:val="3"/>
        </w:numPr>
        <w:jc w:val="both"/>
        <w:rPr>
          <w:rFonts w:ascii="Times New Roman" w:hAnsi="Times New Roman" w:cs="Times New Roman"/>
          <w:sz w:val="26"/>
          <w:szCs w:val="26"/>
        </w:rPr>
      </w:pPr>
      <w:r>
        <w:rPr>
          <w:rFonts w:cs="Times New Roman" w:ascii="Times New Roman" w:hAnsi="Times New Roman"/>
          <w:sz w:val="26"/>
          <w:szCs w:val="26"/>
        </w:rPr>
        <w:t>да получават окончателна изравнителна сметка не по-късно от шест седмици след смяната на доставчика;</w:t>
      </w:r>
    </w:p>
    <w:p>
      <w:pPr>
        <w:pStyle w:val="ListParagraph"/>
        <w:numPr>
          <w:ilvl w:val="0"/>
          <w:numId w:val="3"/>
        </w:numPr>
        <w:jc w:val="both"/>
        <w:rPr>
          <w:rFonts w:ascii="Times New Roman" w:hAnsi="Times New Roman" w:cs="Times New Roman"/>
          <w:sz w:val="26"/>
          <w:szCs w:val="26"/>
        </w:rPr>
      </w:pPr>
      <w:r>
        <w:rPr>
          <w:rFonts w:cs="Times New Roman" w:ascii="Times New Roman" w:hAnsi="Times New Roman"/>
          <w:sz w:val="26"/>
          <w:szCs w:val="26"/>
        </w:rPr>
        <w:t>да получават всички необходими данни за потреблението на газ и електричество;</w:t>
      </w:r>
    </w:p>
    <w:p>
      <w:pPr>
        <w:pStyle w:val="ListParagraph"/>
        <w:numPr>
          <w:ilvl w:val="0"/>
          <w:numId w:val="3"/>
        </w:numPr>
        <w:jc w:val="both"/>
        <w:rPr>
          <w:rFonts w:ascii="Times New Roman" w:hAnsi="Times New Roman" w:cs="Times New Roman"/>
          <w:sz w:val="26"/>
          <w:szCs w:val="26"/>
        </w:rPr>
      </w:pPr>
      <w:r>
        <w:rPr>
          <w:rFonts w:cs="Times New Roman" w:ascii="Times New Roman" w:hAnsi="Times New Roman"/>
          <w:sz w:val="26"/>
          <w:szCs w:val="26"/>
        </w:rPr>
        <w:t>да бъдат информирани относно дела на различните енергийни източници в общия енергиен микс на доставчика;</w:t>
      </w:r>
    </w:p>
    <w:p>
      <w:pPr>
        <w:pStyle w:val="ListParagraph"/>
        <w:numPr>
          <w:ilvl w:val="0"/>
          <w:numId w:val="3"/>
        </w:numPr>
        <w:jc w:val="both"/>
        <w:rPr>
          <w:rFonts w:ascii="Times New Roman" w:hAnsi="Times New Roman" w:cs="Times New Roman"/>
          <w:sz w:val="26"/>
          <w:szCs w:val="26"/>
        </w:rPr>
      </w:pPr>
      <w:r>
        <w:rPr>
          <w:rFonts w:cs="Times New Roman" w:ascii="Times New Roman" w:hAnsi="Times New Roman"/>
          <w:sz w:val="26"/>
          <w:szCs w:val="26"/>
        </w:rPr>
        <w:t>създаване на независим механизъм за ефикасно обработване на жалби и извънсъдебно уреждане на спорове;</w:t>
      </w:r>
    </w:p>
    <w:p>
      <w:pPr>
        <w:pStyle w:val="ListParagraph"/>
        <w:numPr>
          <w:ilvl w:val="0"/>
          <w:numId w:val="3"/>
        </w:numPr>
        <w:jc w:val="both"/>
        <w:rPr>
          <w:rFonts w:ascii="Times New Roman" w:hAnsi="Times New Roman" w:cs="Times New Roman"/>
          <w:sz w:val="26"/>
          <w:szCs w:val="26"/>
        </w:rPr>
      </w:pPr>
      <w:r>
        <w:rPr>
          <w:rFonts w:cs="Times New Roman" w:ascii="Times New Roman" w:hAnsi="Times New Roman"/>
          <w:sz w:val="26"/>
          <w:szCs w:val="26"/>
        </w:rPr>
        <w:t>компенсации и възстановяване на суми, ако не се спазва качеството на договорената услуга;</w:t>
      </w:r>
    </w:p>
    <w:p>
      <w:pPr>
        <w:pStyle w:val="ListParagraph"/>
        <w:jc w:val="both"/>
        <w:rPr>
          <w:rFonts w:ascii="Times New Roman" w:hAnsi="Times New Roman" w:cs="Times New Roman"/>
          <w:sz w:val="26"/>
          <w:szCs w:val="26"/>
        </w:rPr>
      </w:pPr>
      <w:r>
        <w:rPr>
          <w:rFonts w:cs="Times New Roman" w:ascii="Times New Roman" w:hAnsi="Times New Roman"/>
          <w:sz w:val="26"/>
          <w:szCs w:val="26"/>
        </w:rPr>
      </w:r>
    </w:p>
    <w:p>
      <w:pPr>
        <w:pStyle w:val="ListParagraph"/>
        <w:numPr>
          <w:ilvl w:val="0"/>
          <w:numId w:val="1"/>
        </w:numPr>
        <w:jc w:val="both"/>
        <w:rPr>
          <w:rFonts w:ascii="Times New Roman" w:hAnsi="Times New Roman" w:cs="Times New Roman"/>
          <w:sz w:val="26"/>
          <w:szCs w:val="26"/>
        </w:rPr>
      </w:pPr>
      <w:r>
        <w:rPr>
          <w:rFonts w:cs="Times New Roman" w:ascii="Times New Roman" w:hAnsi="Times New Roman"/>
          <w:sz w:val="26"/>
          <w:szCs w:val="26"/>
        </w:rPr>
        <w:t>Правила за компании извън ЕС.</w:t>
      </w:r>
    </w:p>
    <w:p>
      <w:pPr>
        <w:pStyle w:val="Normal"/>
        <w:jc w:val="both"/>
        <w:rPr>
          <w:rFonts w:ascii="Times New Roman" w:hAnsi="Times New Roman" w:cs="Times New Roman"/>
          <w:sz w:val="26"/>
          <w:szCs w:val="26"/>
        </w:rPr>
      </w:pPr>
      <w:r>
        <w:rPr>
          <w:rFonts w:cs="Times New Roman" w:ascii="Times New Roman" w:hAnsi="Times New Roman"/>
          <w:sz w:val="26"/>
          <w:szCs w:val="26"/>
        </w:rPr>
        <w:t>Законодателният пакет съдържа разпоредби, които да предотвратят контрола над преносните системи или над техните собственици от компании извън ЕС, докато те не гарантират, че отговарят на определени условия.</w:t>
      </w:r>
    </w:p>
    <w:p>
      <w:pPr>
        <w:pStyle w:val="ListParagraph"/>
        <w:numPr>
          <w:ilvl w:val="0"/>
          <w:numId w:val="1"/>
        </w:numPr>
        <w:jc w:val="both"/>
        <w:rPr>
          <w:rFonts w:ascii="Times New Roman" w:hAnsi="Times New Roman" w:cs="Times New Roman"/>
          <w:sz w:val="26"/>
          <w:szCs w:val="26"/>
        </w:rPr>
      </w:pPr>
      <w:r>
        <w:rPr>
          <w:rFonts w:cs="Times New Roman" w:ascii="Times New Roman" w:hAnsi="Times New Roman"/>
          <w:sz w:val="26"/>
          <w:szCs w:val="26"/>
        </w:rPr>
        <w:t>Гарантиране на предоставянето на универсални услуги;</w:t>
      </w:r>
    </w:p>
    <w:p>
      <w:pPr>
        <w:pStyle w:val="Normal"/>
        <w:jc w:val="both"/>
        <w:rPr>
          <w:rFonts w:ascii="Times New Roman" w:hAnsi="Times New Roman" w:cs="Times New Roman"/>
          <w:sz w:val="26"/>
          <w:szCs w:val="26"/>
        </w:rPr>
      </w:pPr>
      <w:r>
        <w:rPr>
          <w:rFonts w:cs="Times New Roman" w:ascii="Times New Roman" w:hAnsi="Times New Roman"/>
          <w:sz w:val="26"/>
          <w:szCs w:val="26"/>
        </w:rPr>
        <w:t>Държавите членки трябва да гарантират, че всички битови клиенти и при необходимост малките предприятия се ползват от универсална услуга, т.е. правото да им се доставя електроенергия с определено качество на „разумни, лесно и ясно съпоставими, прозрачни и недискриминационни цени“.</w:t>
      </w:r>
    </w:p>
    <w:p>
      <w:pPr>
        <w:pStyle w:val="ListParagraph"/>
        <w:numPr>
          <w:ilvl w:val="0"/>
          <w:numId w:val="1"/>
        </w:numPr>
        <w:jc w:val="both"/>
        <w:rPr>
          <w:rFonts w:ascii="Times New Roman" w:hAnsi="Times New Roman" w:cs="Times New Roman"/>
          <w:sz w:val="26"/>
          <w:szCs w:val="26"/>
        </w:rPr>
      </w:pPr>
      <w:r>
        <w:rPr>
          <w:rFonts w:cs="Times New Roman" w:ascii="Times New Roman" w:hAnsi="Times New Roman"/>
          <w:sz w:val="26"/>
          <w:szCs w:val="26"/>
        </w:rPr>
        <w:t>Защита на уязвимите потребители.</w:t>
      </w:r>
    </w:p>
    <w:p>
      <w:pPr>
        <w:pStyle w:val="Normal"/>
        <w:jc w:val="both"/>
        <w:rPr>
          <w:rFonts w:ascii="Times New Roman" w:hAnsi="Times New Roman" w:cs="Times New Roman"/>
          <w:sz w:val="26"/>
          <w:szCs w:val="26"/>
        </w:rPr>
      </w:pPr>
      <w:r>
        <w:rPr>
          <w:rFonts w:cs="Times New Roman" w:ascii="Times New Roman" w:hAnsi="Times New Roman"/>
          <w:sz w:val="26"/>
          <w:szCs w:val="26"/>
        </w:rPr>
        <w:t>Тази защита гарантира доставките на енергия на клиенти с неплатени задължения.</w:t>
      </w:r>
    </w:p>
    <w:p>
      <w:pPr>
        <w:pStyle w:val="ListParagraph"/>
        <w:numPr>
          <w:ilvl w:val="0"/>
          <w:numId w:val="1"/>
        </w:numPr>
        <w:jc w:val="both"/>
        <w:rPr>
          <w:rFonts w:ascii="Times New Roman" w:hAnsi="Times New Roman" w:cs="Times New Roman"/>
          <w:sz w:val="26"/>
          <w:szCs w:val="26"/>
        </w:rPr>
      </w:pPr>
      <w:r>
        <w:rPr>
          <w:rFonts w:cs="Times New Roman" w:ascii="Times New Roman" w:hAnsi="Times New Roman"/>
          <w:sz w:val="26"/>
          <w:szCs w:val="26"/>
        </w:rPr>
        <w:t>Засилено регионално сътрудничество при опасност от нарушаване на доставките на енергия.</w:t>
      </w:r>
    </w:p>
    <w:p>
      <w:pPr>
        <w:pStyle w:val="ListParagraph"/>
        <w:numPr>
          <w:ilvl w:val="0"/>
          <w:numId w:val="4"/>
        </w:numPr>
        <w:jc w:val="both"/>
        <w:rPr>
          <w:rFonts w:ascii="Times New Roman" w:hAnsi="Times New Roman" w:cs="Times New Roman"/>
          <w:sz w:val="26"/>
          <w:szCs w:val="26"/>
        </w:rPr>
      </w:pPr>
      <w:r>
        <w:rPr>
          <w:rFonts w:cs="Times New Roman" w:ascii="Times New Roman" w:hAnsi="Times New Roman"/>
          <w:sz w:val="26"/>
          <w:szCs w:val="26"/>
        </w:rPr>
        <w:t>създаване на Агенция за сътрудничество между енергийните регулатори, която да определя „необвързваща рамкова насока“;</w:t>
      </w:r>
    </w:p>
    <w:p>
      <w:pPr>
        <w:pStyle w:val="ListParagraph"/>
        <w:numPr>
          <w:ilvl w:val="0"/>
          <w:numId w:val="4"/>
        </w:numPr>
        <w:jc w:val="both"/>
        <w:rPr>
          <w:rFonts w:ascii="Times New Roman" w:hAnsi="Times New Roman" w:cs="Times New Roman"/>
          <w:sz w:val="26"/>
          <w:szCs w:val="26"/>
        </w:rPr>
      </w:pPr>
      <w:r>
        <w:rPr>
          <w:rFonts w:cs="Times New Roman" w:ascii="Times New Roman" w:hAnsi="Times New Roman"/>
          <w:sz w:val="26"/>
          <w:szCs w:val="26"/>
        </w:rPr>
        <w:t>на основата на тази рамкова насока Комисията трябва да създаде задължителни мрежови кодекси за процедурите при спешни ситуации;</w:t>
      </w:r>
    </w:p>
    <w:p>
      <w:pPr>
        <w:pStyle w:val="ListParagraph"/>
        <w:numPr>
          <w:ilvl w:val="0"/>
          <w:numId w:val="4"/>
        </w:numPr>
        <w:jc w:val="both"/>
        <w:rPr>
          <w:rFonts w:ascii="Times New Roman" w:hAnsi="Times New Roman" w:cs="Times New Roman"/>
          <w:sz w:val="26"/>
          <w:szCs w:val="26"/>
        </w:rPr>
      </w:pPr>
      <w:r>
        <w:rPr>
          <w:rFonts w:cs="Times New Roman" w:ascii="Times New Roman" w:hAnsi="Times New Roman"/>
          <w:sz w:val="26"/>
          <w:szCs w:val="26"/>
        </w:rPr>
        <w:t>създаване на Европейски мрежи от оператори на преносни системи на електроенергия и газ, които да прилагат мрежовите кодекси;</w:t>
      </w:r>
    </w:p>
    <w:p>
      <w:pPr>
        <w:pStyle w:val="ListParagraph"/>
        <w:numPr>
          <w:ilvl w:val="0"/>
          <w:numId w:val="4"/>
        </w:numPr>
        <w:jc w:val="both"/>
        <w:rPr>
          <w:rFonts w:ascii="Times New Roman" w:hAnsi="Times New Roman" w:cs="Times New Roman"/>
          <w:sz w:val="26"/>
          <w:szCs w:val="26"/>
        </w:rPr>
      </w:pPr>
      <w:r>
        <w:rPr>
          <w:rFonts w:cs="Times New Roman" w:ascii="Times New Roman" w:hAnsi="Times New Roman"/>
          <w:sz w:val="26"/>
          <w:szCs w:val="26"/>
        </w:rPr>
        <w:t>задължение за операторите на преносни системи да представят всяка година на националните регулаторни органи 10-годишен план за развитие на мрежата;</w:t>
      </w:r>
    </w:p>
    <w:p>
      <w:pPr>
        <w:pStyle w:val="ListParagraph"/>
        <w:jc w:val="both"/>
        <w:rPr>
          <w:rFonts w:ascii="Times New Roman" w:hAnsi="Times New Roman" w:cs="Times New Roman"/>
          <w:sz w:val="26"/>
          <w:szCs w:val="26"/>
        </w:rPr>
      </w:pPr>
      <w:r>
        <w:rPr>
          <w:rFonts w:cs="Times New Roman" w:ascii="Times New Roman" w:hAnsi="Times New Roman"/>
          <w:sz w:val="26"/>
          <w:szCs w:val="26"/>
        </w:rPr>
      </w:r>
    </w:p>
    <w:p>
      <w:pPr>
        <w:pStyle w:val="ListParagraph"/>
        <w:numPr>
          <w:ilvl w:val="0"/>
          <w:numId w:val="1"/>
        </w:numPr>
        <w:jc w:val="both"/>
        <w:rPr>
          <w:rFonts w:ascii="Times New Roman" w:hAnsi="Times New Roman" w:cs="Times New Roman"/>
          <w:sz w:val="26"/>
          <w:szCs w:val="26"/>
        </w:rPr>
      </w:pPr>
      <w:r>
        <w:rPr>
          <w:rFonts w:cs="Times New Roman" w:ascii="Times New Roman" w:hAnsi="Times New Roman"/>
          <w:sz w:val="26"/>
          <w:szCs w:val="26"/>
        </w:rPr>
        <w:t>Балансиращи групи.</w:t>
      </w:r>
    </w:p>
    <w:p>
      <w:pPr>
        <w:pStyle w:val="Normal"/>
        <w:jc w:val="both"/>
        <w:rPr>
          <w:rFonts w:ascii="Times New Roman" w:hAnsi="Times New Roman" w:cs="Times New Roman"/>
          <w:sz w:val="26"/>
          <w:szCs w:val="26"/>
          <w:lang w:val="en-US"/>
        </w:rPr>
      </w:pPr>
      <w:r>
        <w:rPr>
          <w:rFonts w:cs="Times New Roman" w:ascii="Times New Roman" w:hAnsi="Times New Roman"/>
          <w:sz w:val="26"/>
          <w:szCs w:val="26"/>
        </w:rPr>
        <w:t>Важна стъпка към отворения енергиен пазар е и формирането на така наречените балансиращи групи от производители и търговци. Те ще могат да изкупуват излишната енергия на дадено предприятие или да я продават при нужда.</w:t>
      </w:r>
    </w:p>
    <w:p>
      <w:pPr>
        <w:pStyle w:val="ListParagraph"/>
        <w:numPr>
          <w:ilvl w:val="0"/>
          <w:numId w:val="1"/>
        </w:numPr>
        <w:jc w:val="both"/>
        <w:rPr>
          <w:rFonts w:ascii="Times New Roman" w:hAnsi="Times New Roman" w:cs="Times New Roman"/>
          <w:sz w:val="26"/>
          <w:szCs w:val="26"/>
        </w:rPr>
      </w:pPr>
      <w:r>
        <w:rPr>
          <w:rFonts w:cs="Times New Roman" w:ascii="Times New Roman" w:hAnsi="Times New Roman"/>
          <w:sz w:val="26"/>
          <w:szCs w:val="26"/>
        </w:rPr>
        <w:t>Търговия ден напред</w:t>
      </w:r>
      <w:r>
        <w:rPr>
          <w:rFonts w:cs="Times New Roman" w:ascii="Times New Roman" w:hAnsi="Times New Roman"/>
          <w:sz w:val="26"/>
          <w:szCs w:val="26"/>
          <w:lang w:val="en-US"/>
        </w:rPr>
        <w:t>.</w:t>
      </w:r>
    </w:p>
    <w:p>
      <w:pPr>
        <w:pStyle w:val="Normal"/>
        <w:jc w:val="both"/>
        <w:rPr>
          <w:rFonts w:ascii="Times New Roman" w:hAnsi="Times New Roman" w:cs="Times New Roman"/>
          <w:sz w:val="26"/>
          <w:szCs w:val="26"/>
        </w:rPr>
      </w:pPr>
      <w:r>
        <w:rPr>
          <w:rFonts w:cs="Times New Roman" w:ascii="Times New Roman" w:hAnsi="Times New Roman"/>
          <w:sz w:val="26"/>
          <w:szCs w:val="26"/>
        </w:rPr>
        <w:t>През 2016 г. КЕВР прие нормативната база за въвеждане на различни сегменти за борсова търговия с електроенергия и гарантира прилагането на справедливи принципи на ценообразуване. Първият етап от дейността на БНЕБ е въвеждане на сегмента „търговия ден напред“.</w:t>
      </w:r>
    </w:p>
    <w:p>
      <w:pPr>
        <w:pStyle w:val="ListParagraph"/>
        <w:numPr>
          <w:ilvl w:val="0"/>
          <w:numId w:val="1"/>
        </w:numPr>
        <w:jc w:val="both"/>
        <w:rPr>
          <w:rFonts w:ascii="Times New Roman" w:hAnsi="Times New Roman" w:cs="Times New Roman"/>
          <w:sz w:val="26"/>
          <w:szCs w:val="26"/>
        </w:rPr>
      </w:pPr>
      <w:r>
        <w:rPr>
          <w:rFonts w:cs="Times New Roman" w:ascii="Times New Roman" w:hAnsi="Times New Roman"/>
          <w:sz w:val="26"/>
          <w:szCs w:val="26"/>
        </w:rPr>
        <w:t>Българска независима енергийна борса</w:t>
      </w:r>
      <w:r>
        <w:rPr>
          <w:rFonts w:cs="Times New Roman" w:ascii="Times New Roman" w:hAnsi="Times New Roman"/>
          <w:sz w:val="26"/>
          <w:szCs w:val="26"/>
          <w:lang w:val="en-US"/>
        </w:rPr>
        <w:t>.</w:t>
      </w:r>
    </w:p>
    <w:p>
      <w:pPr>
        <w:pStyle w:val="Normal"/>
        <w:jc w:val="both"/>
        <w:rPr>
          <w:rFonts w:ascii="Times New Roman" w:hAnsi="Times New Roman" w:cs="Times New Roman"/>
          <w:sz w:val="26"/>
          <w:szCs w:val="26"/>
        </w:rPr>
      </w:pPr>
      <w:r>
        <w:rPr>
          <w:rFonts w:cs="Times New Roman" w:ascii="Times New Roman" w:hAnsi="Times New Roman"/>
          <w:sz w:val="26"/>
          <w:szCs w:val="26"/>
        </w:rPr>
        <w:t>БНЕБ ЕАД стартира реална работа през януари 2016 г. като организиран пазар за краткосрочна търговия с електрическа енергия. Към настоящия момент БНЕБ ЕАД разширява пазарното си портфолио и се очаква да увеличи пазарния си дял през следващите години. Колкото по-голяма част от търговията се извършва чрез платформа на пазарна основа, толкова по-голяма ще бъде прозрачността на българския пазар.</w:t>
      </w:r>
    </w:p>
    <w:p>
      <w:pPr>
        <w:pStyle w:val="ListParagraph"/>
        <w:numPr>
          <w:ilvl w:val="0"/>
          <w:numId w:val="1"/>
        </w:numPr>
        <w:jc w:val="both"/>
        <w:rPr>
          <w:rFonts w:ascii="Times New Roman" w:hAnsi="Times New Roman" w:cs="Times New Roman"/>
          <w:sz w:val="26"/>
          <w:szCs w:val="26"/>
        </w:rPr>
      </w:pPr>
      <w:r>
        <w:rPr>
          <w:rFonts w:cs="Times New Roman" w:ascii="Times New Roman" w:hAnsi="Times New Roman"/>
          <w:sz w:val="26"/>
          <w:szCs w:val="26"/>
        </w:rPr>
        <w:t>Стандартизирани товарови профили</w:t>
      </w:r>
    </w:p>
    <w:p>
      <w:pPr>
        <w:pStyle w:val="Normal"/>
        <w:jc w:val="both"/>
        <w:rPr>
          <w:rFonts w:ascii="Times New Roman" w:hAnsi="Times New Roman" w:cs="Times New Roman"/>
          <w:sz w:val="26"/>
          <w:szCs w:val="26"/>
        </w:rPr>
      </w:pPr>
      <w:r>
        <w:rPr>
          <w:rFonts w:cs="Times New Roman" w:ascii="Times New Roman" w:hAnsi="Times New Roman"/>
          <w:sz w:val="26"/>
          <w:szCs w:val="26"/>
        </w:rPr>
        <w:t xml:space="preserve">От 1 април 2016 г. стартира прилагането на стандартизираните товарови профили. Чрез тях битовите и малките стопански клиенти, за които няма нормативно изискване за почасово измерване на количеството консумирана електрическа енергия, могат да участват на пазара по свободно договорени цени. </w:t>
      </w:r>
    </w:p>
    <w:p>
      <w:pPr>
        <w:pStyle w:val="Normal"/>
        <w:jc w:val="both"/>
        <w:rPr>
          <w:rFonts w:ascii="Times New Roman" w:hAnsi="Times New Roman" w:cs="Times New Roman"/>
          <w:sz w:val="26"/>
          <w:szCs w:val="26"/>
        </w:rPr>
      </w:pPr>
      <w:r>
        <w:rPr>
          <w:rFonts w:cs="Times New Roman" w:ascii="Times New Roman" w:hAnsi="Times New Roman"/>
          <w:sz w:val="26"/>
          <w:szCs w:val="26"/>
        </w:rPr>
      </w:r>
    </w:p>
    <w:p>
      <w:pPr>
        <w:pStyle w:val="Normal"/>
        <w:jc w:val="center"/>
        <w:rPr>
          <w:rFonts w:ascii="Times New Roman" w:hAnsi="Times New Roman" w:cs="Times New Roman"/>
          <w:sz w:val="32"/>
          <w:szCs w:val="32"/>
        </w:rPr>
      </w:pPr>
      <w:r>
        <w:rPr>
          <w:rFonts w:cs="Times New Roman" w:ascii="Times New Roman" w:hAnsi="Times New Roman"/>
          <w:sz w:val="32"/>
          <w:szCs w:val="32"/>
        </w:rPr>
        <w:t>Схема на регулиран и либерализиран пазар на електроенергия в България</w:t>
      </w:r>
    </w:p>
    <w:p>
      <w:pPr>
        <w:pStyle w:val="Normal"/>
        <w:jc w:val="both"/>
        <w:rPr>
          <w:rFonts w:ascii="Times New Roman" w:hAnsi="Times New Roman" w:cs="Times New Roman"/>
          <w:sz w:val="26"/>
          <w:szCs w:val="26"/>
        </w:rPr>
      </w:pPr>
      <w:r>
        <w:rPr>
          <w:rFonts w:cs="Times New Roman" w:ascii="Times New Roman" w:hAnsi="Times New Roman"/>
          <w:sz w:val="26"/>
          <w:szCs w:val="26"/>
        </w:rPr>
      </w:r>
    </w:p>
    <w:p>
      <w:pPr>
        <w:pStyle w:val="Normal"/>
        <w:jc w:val="both"/>
        <w:rPr>
          <w:rFonts w:ascii="Times New Roman" w:hAnsi="Times New Roman" w:cs="Times New Roman"/>
          <w:sz w:val="26"/>
          <w:szCs w:val="26"/>
        </w:rPr>
      </w:pPr>
      <w:r>
        <w:rPr>
          <w:rFonts w:cs="Times New Roman" w:ascii="Times New Roman" w:hAnsi="Times New Roman"/>
          <w:sz w:val="26"/>
          <w:szCs w:val="26"/>
        </w:rPr>
        <w:drawing>
          <wp:anchor behindDoc="0" distT="0" distB="0" distL="114300" distR="114300" simplePos="0" locked="0" layoutInCell="0" allowOverlap="1" relativeHeight="3">
            <wp:simplePos x="0" y="0"/>
            <wp:positionH relativeFrom="margin">
              <wp:posOffset>-5080</wp:posOffset>
            </wp:positionH>
            <wp:positionV relativeFrom="margin">
              <wp:posOffset>5558155</wp:posOffset>
            </wp:positionV>
            <wp:extent cx="5586730" cy="2695575"/>
            <wp:effectExtent l="0" t="0" r="0" b="0"/>
            <wp:wrapSquare wrapText="bothSides"/>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pic:cNvPicPr>
                      <a:picLocks noChangeAspect="1" noChangeArrowheads="1"/>
                    </pic:cNvPicPr>
                  </pic:nvPicPr>
                  <pic:blipFill>
                    <a:blip r:embed="rId3"/>
                    <a:stretch>
                      <a:fillRect/>
                    </a:stretch>
                  </pic:blipFill>
                  <pic:spPr bwMode="auto">
                    <a:xfrm>
                      <a:off x="0" y="0"/>
                      <a:ext cx="5586730" cy="2695575"/>
                    </a:xfrm>
                    <a:prstGeom prst="rect">
                      <a:avLst/>
                    </a:prstGeom>
                  </pic:spPr>
                </pic:pic>
              </a:graphicData>
            </a:graphic>
          </wp:anchor>
        </w:drawing>
      </w:r>
      <w:r>
        <w:rPr>
          <w:rFonts w:cs="Times New Roman" w:ascii="Times New Roman" w:hAnsi="Times New Roman"/>
          <w:sz w:val="26"/>
          <w:szCs w:val="26"/>
        </w:rPr>
        <w:t>Пазарът на електроенергия в България е в процес на поетапна либерализация. Той се състои от два сегмента - сегмент с регулирани цени и сегмент със свободно договорени цени. На регулирания сегмент цените се определят от ДКЕВР, а потребителите се обслужват от крайните снабдители на териториален принцип и не са задължени да сменят своя доставчик на електрическа енергия. На свободния сегмент клиентите могат да сменят своя доставчик на електроенергия без географското им разположение да влияе на това. Единствено продължават да заплащат цени за пренос и достъп до мрежата, към която са присъединени според нивото на напрежение.</w:t>
      </w:r>
    </w:p>
    <w:p>
      <w:pPr>
        <w:pStyle w:val="Normal"/>
        <w:jc w:val="center"/>
        <w:rPr>
          <w:rFonts w:ascii="Times New Roman" w:hAnsi="Times New Roman" w:cs="Times New Roman"/>
          <w:i/>
          <w:i/>
          <w:sz w:val="24"/>
          <w:szCs w:val="24"/>
          <w:lang w:val="en-US"/>
        </w:rPr>
      </w:pPr>
      <w:r>
        <w:rPr>
          <w:rFonts w:cs="Times New Roman" w:ascii="Times New Roman" w:hAnsi="Times New Roman"/>
          <w:i/>
          <w:sz w:val="24"/>
          <w:szCs w:val="24"/>
        </w:rPr>
        <w:t xml:space="preserve">Източник: </w:t>
      </w:r>
      <w:r>
        <w:rPr>
          <w:rFonts w:cs="Times New Roman" w:ascii="Times New Roman" w:hAnsi="Times New Roman"/>
          <w:i/>
          <w:sz w:val="24"/>
          <w:szCs w:val="24"/>
          <w:lang w:val="en-US"/>
        </w:rPr>
        <w:t>www.elektrichestvo.bg</w:t>
      </w:r>
    </w:p>
    <w:p>
      <w:pPr>
        <w:pStyle w:val="Normal"/>
        <w:jc w:val="center"/>
        <w:rPr>
          <w:rFonts w:ascii="Times New Roman" w:hAnsi="Times New Roman" w:cs="Times New Roman"/>
          <w:sz w:val="32"/>
          <w:szCs w:val="32"/>
        </w:rPr>
      </w:pPr>
      <w:r>
        <w:rPr>
          <w:rFonts w:cs="Times New Roman" w:ascii="Times New Roman" w:hAnsi="Times New Roman"/>
          <w:sz w:val="32"/>
          <w:szCs w:val="32"/>
        </w:rPr>
      </w:r>
    </w:p>
    <w:p>
      <w:pPr>
        <w:pStyle w:val="Normal"/>
        <w:jc w:val="center"/>
        <w:rPr>
          <w:rFonts w:ascii="Times New Roman" w:hAnsi="Times New Roman" w:cs="Times New Roman"/>
          <w:sz w:val="24"/>
          <w:szCs w:val="24"/>
        </w:rPr>
      </w:pPr>
      <w:r>
        <w:rPr>
          <w:rFonts w:cs="Times New Roman" w:ascii="Times New Roman" w:hAnsi="Times New Roman"/>
          <w:sz w:val="32"/>
          <w:szCs w:val="32"/>
        </w:rPr>
        <w:t>Структура на електроенергийния пазар в България</w:t>
      </w:r>
    </w:p>
    <w:p>
      <w:pPr>
        <w:pStyle w:val="Normal"/>
        <w:jc w:val="both"/>
        <w:rPr>
          <w:rFonts w:ascii="Times New Roman" w:hAnsi="Times New Roman" w:cs="Times New Roman"/>
          <w:sz w:val="24"/>
          <w:szCs w:val="24"/>
        </w:rPr>
      </w:pPr>
      <w:r>
        <w:rPr>
          <w:rFonts w:cs="Times New Roman" w:ascii="Times New Roman" w:hAnsi="Times New Roman"/>
          <w:sz w:val="24"/>
          <w:szCs w:val="24"/>
        </w:rPr>
        <w:drawing>
          <wp:anchor behindDoc="0" distT="0" distB="0" distL="114300" distR="114300" simplePos="0" locked="0" layoutInCell="0" allowOverlap="1" relativeHeight="4">
            <wp:simplePos x="0" y="0"/>
            <wp:positionH relativeFrom="margin">
              <wp:posOffset>300355</wp:posOffset>
            </wp:positionH>
            <wp:positionV relativeFrom="margin">
              <wp:posOffset>700405</wp:posOffset>
            </wp:positionV>
            <wp:extent cx="4943475" cy="2895600"/>
            <wp:effectExtent l="0" t="0" r="0" b="0"/>
            <wp:wrapSquare wrapText="bothSides"/>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
                    <pic:cNvPicPr>
                      <a:picLocks noChangeAspect="1" noChangeArrowheads="1"/>
                    </pic:cNvPicPr>
                  </pic:nvPicPr>
                  <pic:blipFill>
                    <a:blip r:embed="rId4"/>
                    <a:stretch>
                      <a:fillRect/>
                    </a:stretch>
                  </pic:blipFill>
                  <pic:spPr bwMode="auto">
                    <a:xfrm>
                      <a:off x="0" y="0"/>
                      <a:ext cx="4943475" cy="2895600"/>
                    </a:xfrm>
                    <a:prstGeom prst="rect">
                      <a:avLst/>
                    </a:prstGeom>
                  </pic:spPr>
                </pic:pic>
              </a:graphicData>
            </a:graphic>
          </wp:anchor>
        </w:drawing>
      </w:r>
    </w:p>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Normal"/>
        <w:jc w:val="center"/>
        <w:rPr>
          <w:rFonts w:ascii="Times New Roman" w:hAnsi="Times New Roman" w:cs="Times New Roman"/>
          <w:i/>
          <w:i/>
          <w:sz w:val="24"/>
          <w:szCs w:val="24"/>
        </w:rPr>
      </w:pPr>
      <w:r>
        <w:rPr>
          <w:rFonts w:cs="Times New Roman" w:ascii="Times New Roman" w:hAnsi="Times New Roman"/>
          <w:i/>
          <w:sz w:val="24"/>
          <w:szCs w:val="24"/>
        </w:rPr>
        <w:t>Източник: КЕВР – Годишен доклад за 2016 г.</w:t>
      </w:r>
    </w:p>
    <w:p>
      <w:pPr>
        <w:pStyle w:val="Normal"/>
        <w:jc w:val="both"/>
        <w:rPr>
          <w:rFonts w:ascii="Times New Roman" w:hAnsi="Times New Roman" w:cs="Times New Roman"/>
          <w:sz w:val="26"/>
          <w:szCs w:val="26"/>
          <w:lang w:val="en-US"/>
        </w:rPr>
      </w:pPr>
      <w:r>
        <w:rPr>
          <w:rFonts w:cs="Times New Roman" w:ascii="Times New Roman" w:hAnsi="Times New Roman"/>
          <w:sz w:val="26"/>
          <w:szCs w:val="26"/>
          <w:lang w:val="en-US"/>
        </w:rPr>
      </w:r>
    </w:p>
    <w:p>
      <w:pPr>
        <w:pStyle w:val="Normal"/>
        <w:jc w:val="both"/>
        <w:rPr>
          <w:rFonts w:ascii="Times New Roman" w:hAnsi="Times New Roman" w:cs="Times New Roman"/>
          <w:sz w:val="26"/>
          <w:szCs w:val="26"/>
          <w:lang w:val="en-US"/>
        </w:rPr>
      </w:pPr>
      <w:r>
        <w:rPr>
          <w:rFonts w:cs="Times New Roman" w:ascii="Times New Roman" w:hAnsi="Times New Roman"/>
          <w:sz w:val="26"/>
          <w:szCs w:val="26"/>
        </w:rPr>
        <w:t>Структурата на електроенергийния пазар за 2016 г. показва, че съотношението регулиран към либерализиран вътрешен пазар се изравнява, като поотделно те формират по 37 %. Енергията за покриване на технологичните разходи по дейностите пренос и разпределение от своя страна, като отделна част от регулирания сегмент съставляват 9 %, а износът е с относителен дял 17 % от общия микс за 2016 г.</w:t>
      </w:r>
    </w:p>
    <w:p>
      <w:pPr>
        <w:pStyle w:val="Normal"/>
        <w:jc w:val="both"/>
        <w:rPr>
          <w:rFonts w:ascii="Times New Roman" w:hAnsi="Times New Roman" w:cs="Times New Roman"/>
          <w:sz w:val="26"/>
          <w:szCs w:val="26"/>
          <w:lang w:val="en-US"/>
        </w:rPr>
      </w:pPr>
      <w:r>
        <w:rPr>
          <w:rFonts w:cs="Times New Roman" w:ascii="Times New Roman" w:hAnsi="Times New Roman"/>
          <w:sz w:val="26"/>
          <w:szCs w:val="26"/>
          <w:lang w:val="en-US"/>
        </w:rPr>
      </w:r>
    </w:p>
    <w:p>
      <w:pPr>
        <w:pStyle w:val="Normal"/>
        <w:jc w:val="both"/>
        <w:rPr>
          <w:rFonts w:ascii="Times New Roman" w:hAnsi="Times New Roman" w:cs="Times New Roman"/>
          <w:sz w:val="26"/>
          <w:szCs w:val="26"/>
        </w:rPr>
      </w:pPr>
      <w:r>
        <w:rPr>
          <w:rFonts w:cs="Times New Roman" w:ascii="Times New Roman" w:hAnsi="Times New Roman"/>
          <w:sz w:val="26"/>
          <w:szCs w:val="26"/>
        </w:rPr>
        <w:t>Въпреки процеса към либерализация на електроенергийния пазар реален интерес проявяват по-големите консуматори на електрическа енергия. Електрическата енергия на регулирания пазар като относителен дял се изравнява с електрическата енергия, реализирана на свободния пазарен сегмент, броят на клиентите, сменили доставчика си с такъв на свободния пазар, е относително малък, като към момента представлява малко над 2 %. Докато общият брой на клиентите на крайните снабдители е 4 938 247, то клиентите на търговците на електрическа енергия наброяват едва 111 473. През 2016 г. 1 034 битови потребителя са сменили доставчика си от регулиран към свободен пазар.</w:t>
      </w:r>
    </w:p>
    <w:p>
      <w:pPr>
        <w:pStyle w:val="Normal"/>
        <w:jc w:val="both"/>
        <w:rPr>
          <w:rFonts w:ascii="Times New Roman" w:hAnsi="Times New Roman" w:cs="Times New Roman"/>
          <w:sz w:val="26"/>
          <w:szCs w:val="26"/>
        </w:rPr>
      </w:pPr>
      <w:r>
        <w:rPr>
          <w:rFonts w:cs="Times New Roman" w:ascii="Times New Roman" w:hAnsi="Times New Roman"/>
          <w:sz w:val="26"/>
          <w:szCs w:val="26"/>
        </w:rPr>
      </w:r>
    </w:p>
    <w:p>
      <w:pPr>
        <w:pStyle w:val="Normal"/>
        <w:jc w:val="both"/>
        <w:rPr>
          <w:rFonts w:ascii="Times New Roman" w:hAnsi="Times New Roman" w:cs="Times New Roman"/>
          <w:sz w:val="26"/>
          <w:szCs w:val="26"/>
          <w:lang w:val="en-US"/>
        </w:rPr>
      </w:pPr>
      <w:r>
        <w:rPr>
          <w:rFonts w:cs="Times New Roman" w:ascii="Times New Roman" w:hAnsi="Times New Roman"/>
          <w:sz w:val="26"/>
          <w:szCs w:val="26"/>
          <w:lang w:val="en-US"/>
        </w:rPr>
        <w:drawing>
          <wp:anchor behindDoc="0" distT="0" distB="0" distL="114300" distR="114300" simplePos="0" locked="0" layoutInCell="0" allowOverlap="1" relativeHeight="5">
            <wp:simplePos x="0" y="0"/>
            <wp:positionH relativeFrom="margin">
              <wp:posOffset>100330</wp:posOffset>
            </wp:positionH>
            <wp:positionV relativeFrom="margin">
              <wp:posOffset>423545</wp:posOffset>
            </wp:positionV>
            <wp:extent cx="5750560" cy="1743075"/>
            <wp:effectExtent l="0" t="0" r="0" b="0"/>
            <wp:wrapSquare wrapText="bothSides"/>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
                    <pic:cNvPicPr>
                      <a:picLocks noChangeAspect="1" noChangeArrowheads="1"/>
                    </pic:cNvPicPr>
                  </pic:nvPicPr>
                  <pic:blipFill>
                    <a:blip r:embed="rId5"/>
                    <a:stretch>
                      <a:fillRect/>
                    </a:stretch>
                  </pic:blipFill>
                  <pic:spPr bwMode="auto">
                    <a:xfrm>
                      <a:off x="0" y="0"/>
                      <a:ext cx="5750560" cy="1743075"/>
                    </a:xfrm>
                    <a:prstGeom prst="rect">
                      <a:avLst/>
                    </a:prstGeom>
                  </pic:spPr>
                </pic:pic>
              </a:graphicData>
            </a:graphic>
          </wp:anchor>
        </w:drawing>
      </w:r>
    </w:p>
    <w:p>
      <w:pPr>
        <w:pStyle w:val="Normal"/>
        <w:jc w:val="center"/>
        <w:rPr>
          <w:rFonts w:ascii="Times New Roman" w:hAnsi="Times New Roman" w:cs="Times New Roman"/>
          <w:i/>
          <w:i/>
          <w:sz w:val="24"/>
          <w:szCs w:val="24"/>
        </w:rPr>
      </w:pPr>
      <w:r>
        <w:rPr>
          <w:rFonts w:cs="Times New Roman" w:ascii="Times New Roman" w:hAnsi="Times New Roman"/>
          <w:i/>
          <w:sz w:val="24"/>
          <w:szCs w:val="24"/>
        </w:rPr>
        <w:t>Източник: КЕВР – Годишен доклад за 2016 г.</w:t>
      </w:r>
    </w:p>
    <w:p>
      <w:pPr>
        <w:pStyle w:val="Normal"/>
        <w:jc w:val="both"/>
        <w:rPr>
          <w:rFonts w:ascii="Times New Roman" w:hAnsi="Times New Roman" w:cs="Times New Roman"/>
          <w:sz w:val="26"/>
          <w:szCs w:val="26"/>
        </w:rPr>
      </w:pPr>
      <w:r>
        <w:rPr>
          <w:rFonts w:cs="Times New Roman" w:ascii="Times New Roman" w:hAnsi="Times New Roman"/>
          <w:sz w:val="26"/>
          <w:szCs w:val="26"/>
        </w:rPr>
      </w:r>
    </w:p>
    <w:p>
      <w:pPr>
        <w:pStyle w:val="Normal"/>
        <w:jc w:val="center"/>
        <w:rPr>
          <w:rFonts w:ascii="Times New Roman" w:hAnsi="Times New Roman" w:cs="Times New Roman"/>
          <w:i/>
          <w:i/>
          <w:sz w:val="24"/>
          <w:szCs w:val="24"/>
        </w:rPr>
      </w:pPr>
      <w:r>
        <w:rPr>
          <w:rFonts w:cs="Times New Roman" w:ascii="Times New Roman" w:hAnsi="Times New Roman"/>
          <w:i/>
          <w:sz w:val="24"/>
          <w:szCs w:val="24"/>
        </w:rPr>
        <w:t>Източник: КЕВР – Годишен доклад за 2016 г.</w:t>
      </w:r>
    </w:p>
    <w:p>
      <w:pPr>
        <w:pStyle w:val="Normal"/>
        <w:jc w:val="both"/>
        <w:rPr>
          <w:rFonts w:ascii="Times New Roman" w:hAnsi="Times New Roman" w:cs="Times New Roman"/>
          <w:sz w:val="26"/>
          <w:szCs w:val="26"/>
        </w:rPr>
      </w:pPr>
      <w:r>
        <w:rPr>
          <w:rFonts w:cs="Times New Roman" w:ascii="Times New Roman" w:hAnsi="Times New Roman"/>
          <w:sz w:val="26"/>
          <w:szCs w:val="26"/>
        </w:rPr>
      </w:r>
    </w:p>
    <w:p>
      <w:pPr>
        <w:pStyle w:val="Normal"/>
        <w:jc w:val="center"/>
        <w:rPr>
          <w:rFonts w:ascii="Times New Roman" w:hAnsi="Times New Roman" w:cs="Times New Roman"/>
          <w:sz w:val="32"/>
          <w:szCs w:val="32"/>
        </w:rPr>
      </w:pPr>
      <w:r>
        <w:drawing>
          <wp:anchor behindDoc="0" distT="0" distB="0" distL="114300" distR="114300" simplePos="0" locked="0" layoutInCell="0" allowOverlap="1" relativeHeight="6">
            <wp:simplePos x="0" y="0"/>
            <wp:positionH relativeFrom="margin">
              <wp:posOffset>289560</wp:posOffset>
            </wp:positionH>
            <wp:positionV relativeFrom="margin">
              <wp:posOffset>2890520</wp:posOffset>
            </wp:positionV>
            <wp:extent cx="5353050" cy="2867025"/>
            <wp:effectExtent l="0" t="0" r="0" b="0"/>
            <wp:wrapSquare wrapText="bothSides"/>
            <wp:docPr id="5"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
                    <pic:cNvPicPr>
                      <a:picLocks noChangeAspect="1" noChangeArrowheads="1"/>
                    </pic:cNvPicPr>
                  </pic:nvPicPr>
                  <pic:blipFill>
                    <a:blip r:embed="rId6"/>
                    <a:stretch>
                      <a:fillRect/>
                    </a:stretch>
                  </pic:blipFill>
                  <pic:spPr bwMode="auto">
                    <a:xfrm>
                      <a:off x="0" y="0"/>
                      <a:ext cx="5353050" cy="2867025"/>
                    </a:xfrm>
                    <a:prstGeom prst="rect">
                      <a:avLst/>
                    </a:prstGeom>
                  </pic:spPr>
                </pic:pic>
              </a:graphicData>
            </a:graphic>
          </wp:anchor>
        </w:drawing>
      </w:r>
      <w:r>
        <w:rPr>
          <w:rFonts w:cs="Times New Roman" w:ascii="Times New Roman" w:hAnsi="Times New Roman"/>
          <w:sz w:val="32"/>
          <w:szCs w:val="32"/>
        </w:rPr>
        <w:t>Ползи от либерализацията на пазара на електроенергия</w:t>
      </w:r>
    </w:p>
    <w:p>
      <w:pPr>
        <w:pStyle w:val="Normal"/>
        <w:jc w:val="both"/>
        <w:rPr>
          <w:rFonts w:ascii="Times New Roman" w:hAnsi="Times New Roman" w:cs="Times New Roman"/>
          <w:sz w:val="26"/>
          <w:szCs w:val="26"/>
        </w:rPr>
      </w:pPr>
      <w:r>
        <w:rPr>
          <w:rFonts w:cs="Times New Roman" w:ascii="Times New Roman" w:hAnsi="Times New Roman"/>
          <w:sz w:val="26"/>
          <w:szCs w:val="26"/>
        </w:rPr>
      </w:r>
    </w:p>
    <w:p>
      <w:pPr>
        <w:pStyle w:val="ListParagraph"/>
        <w:numPr>
          <w:ilvl w:val="0"/>
          <w:numId w:val="1"/>
        </w:numPr>
        <w:jc w:val="both"/>
        <w:rPr>
          <w:rFonts w:ascii="Times New Roman" w:hAnsi="Times New Roman" w:cs="Times New Roman"/>
          <w:sz w:val="26"/>
          <w:szCs w:val="26"/>
          <w:lang w:val="en-US"/>
        </w:rPr>
      </w:pPr>
      <w:r>
        <w:rPr>
          <w:rFonts w:cs="Times New Roman" w:ascii="Times New Roman" w:hAnsi="Times New Roman"/>
          <w:sz w:val="26"/>
          <w:szCs w:val="26"/>
        </w:rPr>
        <w:t xml:space="preserve">Свободният пазар създава конкурентна среда и ограничава монопола. </w:t>
      </w:r>
    </w:p>
    <w:p>
      <w:pPr>
        <w:pStyle w:val="ListParagraph"/>
        <w:jc w:val="both"/>
        <w:rPr>
          <w:rFonts w:ascii="Times New Roman" w:hAnsi="Times New Roman" w:cs="Times New Roman"/>
          <w:sz w:val="26"/>
          <w:szCs w:val="26"/>
          <w:lang w:val="en-US"/>
        </w:rPr>
      </w:pPr>
      <w:r>
        <w:rPr>
          <w:rFonts w:cs="Times New Roman" w:ascii="Times New Roman" w:hAnsi="Times New Roman"/>
          <w:sz w:val="26"/>
          <w:szCs w:val="26"/>
          <w:lang w:val="en-US"/>
        </w:rPr>
      </w:r>
    </w:p>
    <w:p>
      <w:pPr>
        <w:pStyle w:val="ListParagraph"/>
        <w:numPr>
          <w:ilvl w:val="0"/>
          <w:numId w:val="1"/>
        </w:numPr>
        <w:spacing w:lineRule="auto" w:line="360"/>
        <w:jc w:val="both"/>
        <w:rPr>
          <w:rFonts w:ascii="Times New Roman" w:hAnsi="Times New Roman" w:cs="Times New Roman"/>
          <w:sz w:val="26"/>
          <w:szCs w:val="26"/>
        </w:rPr>
      </w:pPr>
      <w:r>
        <w:rPr>
          <w:rFonts w:cs="Times New Roman" w:ascii="Times New Roman" w:hAnsi="Times New Roman"/>
          <w:sz w:val="26"/>
          <w:szCs w:val="26"/>
        </w:rPr>
        <w:t xml:space="preserve">Kонкуренцията от своя страна води до по-качествени услуги и обслужване на по-ниски и реални цени. Вследствие от конкуренцията качеството и разнообразието на услугите се повишава. Всеки клиент си договаря индивидуално цената, която ще е значително по-ниска от държавно регулираната, договорен период, как да плаща. </w:t>
      </w:r>
    </w:p>
    <w:p>
      <w:pPr>
        <w:pStyle w:val="ListParagraph"/>
        <w:jc w:val="both"/>
        <w:rPr>
          <w:rFonts w:ascii="Times New Roman" w:hAnsi="Times New Roman" w:cs="Times New Roman"/>
          <w:sz w:val="26"/>
          <w:szCs w:val="26"/>
          <w:lang w:val="en-US"/>
        </w:rPr>
      </w:pPr>
      <w:r>
        <w:rPr>
          <w:rFonts w:cs="Times New Roman" w:ascii="Times New Roman" w:hAnsi="Times New Roman"/>
          <w:sz w:val="26"/>
          <w:szCs w:val="26"/>
          <w:lang w:val="en-US"/>
        </w:rPr>
      </w:r>
    </w:p>
    <w:p>
      <w:pPr>
        <w:pStyle w:val="ListParagraph"/>
        <w:numPr>
          <w:ilvl w:val="0"/>
          <w:numId w:val="1"/>
        </w:numPr>
        <w:jc w:val="both"/>
        <w:rPr>
          <w:rFonts w:ascii="Times New Roman" w:hAnsi="Times New Roman" w:cs="Times New Roman"/>
          <w:sz w:val="26"/>
          <w:szCs w:val="26"/>
          <w:lang w:val="en-US"/>
        </w:rPr>
      </w:pPr>
      <w:r>
        <w:rPr>
          <w:rFonts w:cs="Times New Roman" w:ascii="Times New Roman" w:hAnsi="Times New Roman"/>
          <w:sz w:val="26"/>
          <w:szCs w:val="26"/>
        </w:rPr>
        <w:t xml:space="preserve">За разлика от регулирания пазар, където цените на енергията се определят от КЕВР, при либерализирания потребителите имат свободен избор между пазарните оферти, както и да оптимизират разходите си за електрическа енергия при прозрачни финансови условия. </w:t>
      </w:r>
    </w:p>
    <w:p>
      <w:pPr>
        <w:pStyle w:val="ListParagraph"/>
        <w:rPr>
          <w:rFonts w:ascii="Times New Roman" w:hAnsi="Times New Roman" w:cs="Times New Roman"/>
          <w:sz w:val="26"/>
          <w:szCs w:val="26"/>
          <w:lang w:val="en-US"/>
        </w:rPr>
      </w:pPr>
      <w:r>
        <w:rPr>
          <w:rFonts w:cs="Times New Roman" w:ascii="Times New Roman" w:hAnsi="Times New Roman"/>
          <w:sz w:val="26"/>
          <w:szCs w:val="26"/>
          <w:lang w:val="en-US"/>
        </w:rPr>
      </w:r>
    </w:p>
    <w:p>
      <w:pPr>
        <w:pStyle w:val="ListParagraph"/>
        <w:jc w:val="both"/>
        <w:rPr>
          <w:rFonts w:ascii="Times New Roman" w:hAnsi="Times New Roman" w:cs="Times New Roman"/>
          <w:sz w:val="26"/>
          <w:szCs w:val="26"/>
          <w:lang w:val="en-US"/>
        </w:rPr>
      </w:pPr>
      <w:r>
        <w:rPr>
          <w:rFonts w:cs="Times New Roman" w:ascii="Times New Roman" w:hAnsi="Times New Roman"/>
          <w:sz w:val="26"/>
          <w:szCs w:val="26"/>
          <w:lang w:val="en-US"/>
        </w:rPr>
      </w:r>
    </w:p>
    <w:p>
      <w:pPr>
        <w:pStyle w:val="ListParagraph"/>
        <w:numPr>
          <w:ilvl w:val="0"/>
          <w:numId w:val="1"/>
        </w:numPr>
        <w:spacing w:lineRule="auto" w:line="360"/>
        <w:jc w:val="both"/>
        <w:rPr>
          <w:rFonts w:ascii="Times New Roman" w:hAnsi="Times New Roman" w:cs="Times New Roman"/>
          <w:sz w:val="26"/>
          <w:szCs w:val="26"/>
        </w:rPr>
      </w:pPr>
      <w:r>
        <w:rPr>
          <w:rFonts w:cs="Times New Roman" w:ascii="Times New Roman" w:hAnsi="Times New Roman"/>
          <w:sz w:val="26"/>
          <w:szCs w:val="26"/>
        </w:rPr>
        <w:t>Фирмите доставчици на ток гарантират, че договорените параметри няма да търпят промени. Ако токът в страната поскъпне, завишението остава за сметка на доставчика. На клиента се спестяват различни административни дейности, като доставчиците се ангажират да ги изпълнят безплатно, дават и безплатни консултации.</w:t>
      </w:r>
    </w:p>
    <w:p>
      <w:pPr>
        <w:pStyle w:val="Normal"/>
        <w:jc w:val="both"/>
        <w:rPr>
          <w:rFonts w:ascii="Times New Roman" w:hAnsi="Times New Roman" w:cs="Times New Roman"/>
          <w:sz w:val="26"/>
          <w:szCs w:val="26"/>
        </w:rPr>
      </w:pPr>
      <w:r>
        <w:rPr>
          <w:rFonts w:cs="Times New Roman" w:ascii="Times New Roman" w:hAnsi="Times New Roman"/>
          <w:sz w:val="26"/>
          <w:szCs w:val="26"/>
        </w:rPr>
      </w:r>
    </w:p>
    <w:p>
      <w:pPr>
        <w:pStyle w:val="Normal"/>
        <w:jc w:val="center"/>
        <w:rPr>
          <w:rFonts w:ascii="Times New Roman" w:hAnsi="Times New Roman" w:cs="Times New Roman"/>
          <w:sz w:val="32"/>
          <w:szCs w:val="32"/>
        </w:rPr>
      </w:pPr>
      <w:r>
        <w:rPr>
          <w:rFonts w:cs="Times New Roman" w:ascii="Times New Roman" w:hAnsi="Times New Roman"/>
          <w:sz w:val="32"/>
          <w:szCs w:val="32"/>
        </w:rPr>
        <w:t>Рискове от либерализацията на пазара на електроенергия</w:t>
      </w:r>
    </w:p>
    <w:p>
      <w:pPr>
        <w:pStyle w:val="Normal"/>
        <w:jc w:val="both"/>
        <w:rPr>
          <w:rFonts w:ascii="Times New Roman" w:hAnsi="Times New Roman" w:cs="Times New Roman"/>
          <w:sz w:val="26"/>
          <w:szCs w:val="26"/>
        </w:rPr>
      </w:pPr>
      <w:r>
        <w:rPr>
          <w:rFonts w:cs="Times New Roman" w:ascii="Times New Roman" w:hAnsi="Times New Roman"/>
          <w:sz w:val="26"/>
          <w:szCs w:val="26"/>
        </w:rPr>
      </w:r>
    </w:p>
    <w:p>
      <w:pPr>
        <w:pStyle w:val="ListParagraph"/>
        <w:numPr>
          <w:ilvl w:val="0"/>
          <w:numId w:val="5"/>
        </w:numPr>
        <w:jc w:val="both"/>
        <w:rPr>
          <w:rFonts w:ascii="Times New Roman" w:hAnsi="Times New Roman" w:cs="Times New Roman"/>
          <w:sz w:val="26"/>
          <w:szCs w:val="26"/>
        </w:rPr>
      </w:pPr>
      <w:r>
        <w:rPr>
          <w:rFonts w:cs="Times New Roman" w:ascii="Times New Roman" w:hAnsi="Times New Roman"/>
          <w:sz w:val="26"/>
          <w:szCs w:val="26"/>
        </w:rPr>
        <w:t>Неяснота за модела за смяна на доставчика за битовите клиенти и малките фирми. Формулирането на конкретни, ясни и точни правила, срокове и изисквания за необходимата информация и каналите за нейното получаване и придвижване, е изключително важно за смяна на доставчика. Практиката в другите страни от ЕС показва, че неточната или непредоставената информация е най-честото основание за прекратяване на процедурите по смяна на доставчика.</w:t>
      </w:r>
    </w:p>
    <w:p>
      <w:pPr>
        <w:pStyle w:val="ListParagraph"/>
        <w:jc w:val="both"/>
        <w:rPr>
          <w:rFonts w:ascii="Times New Roman" w:hAnsi="Times New Roman" w:cs="Times New Roman"/>
          <w:sz w:val="26"/>
          <w:szCs w:val="26"/>
        </w:rPr>
      </w:pPr>
      <w:r>
        <w:rPr>
          <w:rFonts w:cs="Times New Roman" w:ascii="Times New Roman" w:hAnsi="Times New Roman"/>
          <w:sz w:val="26"/>
          <w:szCs w:val="26"/>
        </w:rPr>
      </w:r>
    </w:p>
    <w:p>
      <w:pPr>
        <w:pStyle w:val="ListParagraph"/>
        <w:numPr>
          <w:ilvl w:val="0"/>
          <w:numId w:val="5"/>
        </w:numPr>
        <w:jc w:val="both"/>
        <w:rPr>
          <w:rFonts w:ascii="Times New Roman" w:hAnsi="Times New Roman" w:cs="Times New Roman"/>
          <w:sz w:val="26"/>
          <w:szCs w:val="26"/>
        </w:rPr>
      </w:pPr>
      <w:r>
        <w:rPr>
          <w:rFonts w:cs="Times New Roman" w:ascii="Times New Roman" w:hAnsi="Times New Roman"/>
          <w:sz w:val="26"/>
          <w:szCs w:val="26"/>
        </w:rPr>
        <w:t>Нарушаване на клаузи от действащия договор и риск от плащане на неустойки. Клиентите носят отговорност за това да са се запознали с условията на договора, предложен им от новия доставчик.</w:t>
      </w:r>
    </w:p>
    <w:p>
      <w:pPr>
        <w:pStyle w:val="ListParagraph"/>
        <w:rPr>
          <w:rFonts w:ascii="Times New Roman" w:hAnsi="Times New Roman" w:cs="Times New Roman"/>
          <w:sz w:val="26"/>
          <w:szCs w:val="26"/>
        </w:rPr>
      </w:pPr>
      <w:r>
        <w:rPr>
          <w:rFonts w:cs="Times New Roman" w:ascii="Times New Roman" w:hAnsi="Times New Roman"/>
          <w:sz w:val="26"/>
          <w:szCs w:val="26"/>
        </w:rPr>
      </w:r>
    </w:p>
    <w:p>
      <w:pPr>
        <w:pStyle w:val="ListParagraph"/>
        <w:jc w:val="both"/>
        <w:rPr>
          <w:rFonts w:ascii="Times New Roman" w:hAnsi="Times New Roman" w:cs="Times New Roman"/>
          <w:sz w:val="26"/>
          <w:szCs w:val="26"/>
        </w:rPr>
      </w:pPr>
      <w:r>
        <w:rPr>
          <w:rFonts w:cs="Times New Roman" w:ascii="Times New Roman" w:hAnsi="Times New Roman"/>
          <w:sz w:val="26"/>
          <w:szCs w:val="26"/>
        </w:rPr>
      </w:r>
    </w:p>
    <w:p>
      <w:pPr>
        <w:pStyle w:val="ListParagraph"/>
        <w:numPr>
          <w:ilvl w:val="0"/>
          <w:numId w:val="5"/>
        </w:numPr>
        <w:jc w:val="both"/>
        <w:rPr>
          <w:rFonts w:ascii="Times New Roman" w:hAnsi="Times New Roman" w:cs="Times New Roman"/>
          <w:sz w:val="26"/>
          <w:szCs w:val="26"/>
        </w:rPr>
      </w:pPr>
      <w:r>
        <w:rPr>
          <w:rFonts w:cs="Times New Roman" w:ascii="Times New Roman" w:hAnsi="Times New Roman"/>
          <w:sz w:val="26"/>
          <w:szCs w:val="26"/>
        </w:rPr>
        <w:t>Липса на достатъчно и обективна информация за условията на различните доставчици.</w:t>
      </w:r>
      <w:r>
        <w:rPr>
          <w:rFonts w:cs="Times New Roman" w:ascii="Times New Roman" w:hAnsi="Times New Roman"/>
          <w:sz w:val="26"/>
          <w:szCs w:val="26"/>
          <w:lang w:val="en-US"/>
        </w:rPr>
        <w:t xml:space="preserve"> </w:t>
      </w:r>
      <w:r>
        <w:rPr>
          <w:rFonts w:cs="Times New Roman" w:ascii="Times New Roman" w:hAnsi="Times New Roman"/>
          <w:sz w:val="26"/>
          <w:szCs w:val="26"/>
        </w:rPr>
        <w:t>За да бъде гарантирана честна и ефективна конкуренция между всички доставчици на пазара за крайни потребители, е важно клиентите да могат да взимат напълно информирани решения за смяна. Трябва да има поне един неутрален инструмент за сравнение на цените във всяка страна. Този инструмент трябва да предоставя актуална и надежда информация за наличните оферти.</w:t>
      </w:r>
    </w:p>
    <w:p>
      <w:pPr>
        <w:pStyle w:val="ListParagraph"/>
        <w:jc w:val="both"/>
        <w:rPr>
          <w:rFonts w:ascii="Times New Roman" w:hAnsi="Times New Roman" w:cs="Times New Roman"/>
          <w:sz w:val="26"/>
          <w:szCs w:val="26"/>
        </w:rPr>
      </w:pPr>
      <w:r>
        <w:rPr>
          <w:rFonts w:cs="Times New Roman" w:ascii="Times New Roman" w:hAnsi="Times New Roman"/>
          <w:sz w:val="26"/>
          <w:szCs w:val="26"/>
        </w:rPr>
      </w:r>
    </w:p>
    <w:p>
      <w:pPr>
        <w:pStyle w:val="ListParagraph"/>
        <w:numPr>
          <w:ilvl w:val="0"/>
          <w:numId w:val="5"/>
        </w:numPr>
        <w:jc w:val="both"/>
        <w:rPr>
          <w:rFonts w:ascii="Times New Roman" w:hAnsi="Times New Roman" w:cs="Times New Roman"/>
          <w:sz w:val="26"/>
          <w:szCs w:val="26"/>
        </w:rPr>
      </w:pPr>
      <w:r>
        <w:rPr>
          <w:rFonts w:cs="Times New Roman" w:ascii="Times New Roman" w:hAnsi="Times New Roman"/>
          <w:sz w:val="26"/>
          <w:szCs w:val="26"/>
        </w:rPr>
        <w:t>Неумението на голяма част от потребителите да оценят предимствата и рисковете при различните оферти. На свободния пазар на електроенергия конкуренцията няма да е само в цената, а и в условията за доставката, начина на плащане на сметките, развитието на енергийните услуги, предлагани в допълнение от доставчиците.</w:t>
      </w:r>
    </w:p>
    <w:p>
      <w:pPr>
        <w:pStyle w:val="ListParagraph"/>
        <w:rPr>
          <w:rFonts w:ascii="Times New Roman" w:hAnsi="Times New Roman" w:cs="Times New Roman"/>
          <w:sz w:val="26"/>
          <w:szCs w:val="26"/>
        </w:rPr>
      </w:pPr>
      <w:r>
        <w:rPr>
          <w:rFonts w:cs="Times New Roman" w:ascii="Times New Roman" w:hAnsi="Times New Roman"/>
          <w:sz w:val="26"/>
          <w:szCs w:val="26"/>
        </w:rPr>
      </w:r>
    </w:p>
    <w:p>
      <w:pPr>
        <w:pStyle w:val="ListParagraph"/>
        <w:jc w:val="both"/>
        <w:rPr>
          <w:rFonts w:ascii="Times New Roman" w:hAnsi="Times New Roman" w:cs="Times New Roman"/>
          <w:sz w:val="26"/>
          <w:szCs w:val="26"/>
        </w:rPr>
      </w:pPr>
      <w:r>
        <w:rPr>
          <w:rFonts w:cs="Times New Roman" w:ascii="Times New Roman" w:hAnsi="Times New Roman"/>
          <w:sz w:val="26"/>
          <w:szCs w:val="26"/>
        </w:rPr>
      </w:r>
    </w:p>
    <w:p>
      <w:pPr>
        <w:pStyle w:val="ListParagraph"/>
        <w:numPr>
          <w:ilvl w:val="0"/>
          <w:numId w:val="5"/>
        </w:numPr>
        <w:jc w:val="both"/>
        <w:rPr>
          <w:rFonts w:ascii="Times New Roman" w:hAnsi="Times New Roman" w:cs="Times New Roman"/>
          <w:sz w:val="26"/>
          <w:szCs w:val="26"/>
        </w:rPr>
      </w:pPr>
      <w:r>
        <w:rPr>
          <w:rFonts w:cs="Times New Roman" w:ascii="Times New Roman" w:hAnsi="Times New Roman"/>
          <w:sz w:val="26"/>
          <w:szCs w:val="26"/>
        </w:rPr>
        <w:t>Липсата на кадрови, технически и технологичен капацитет на новите доставчици. На пазара на ел.енергия освен трите електроснабдителни предприятия, които оперират на регулирания пазар – ЧЕЗ, ЕВН и Енерго-про, има и над 100 лицензирани търговци на ел.енергия, а вероятно ще се появят и множество нови кандидати да доставят ток до крайните потребители. Към момента търговците на свободния пазар все още нямат изграден капацитет да обслужват огромен брой клиенти. Изграждането и оборудването на мрежи от клиентски центрове изисква сериозни инвестиции, включително за придобиване на специализиран софтуер и обучение на специалисти за комуникация с клиентите. Всичко това е гаранция за коректност и бърза реакция от страна на дружеството, когато клиентите имат въпроси към тях или желаят да бъде решен някакъв проблем.</w:t>
      </w:r>
    </w:p>
    <w:p>
      <w:pPr>
        <w:pStyle w:val="ListParagraph"/>
        <w:jc w:val="both"/>
        <w:rPr>
          <w:rFonts w:ascii="Times New Roman" w:hAnsi="Times New Roman" w:cs="Times New Roman"/>
          <w:sz w:val="26"/>
          <w:szCs w:val="26"/>
        </w:rPr>
      </w:pPr>
      <w:r>
        <w:rPr>
          <w:rFonts w:cs="Times New Roman" w:ascii="Times New Roman" w:hAnsi="Times New Roman"/>
          <w:sz w:val="26"/>
          <w:szCs w:val="26"/>
        </w:rPr>
      </w:r>
    </w:p>
    <w:p>
      <w:pPr>
        <w:pStyle w:val="ListParagraph"/>
        <w:numPr>
          <w:ilvl w:val="0"/>
          <w:numId w:val="5"/>
        </w:numPr>
        <w:jc w:val="both"/>
        <w:rPr>
          <w:rFonts w:ascii="Times New Roman" w:hAnsi="Times New Roman" w:cs="Times New Roman"/>
          <w:sz w:val="26"/>
          <w:szCs w:val="26"/>
        </w:rPr>
      </w:pPr>
      <w:r>
        <w:rPr>
          <w:rFonts w:cs="Times New Roman" w:ascii="Times New Roman" w:hAnsi="Times New Roman"/>
          <w:sz w:val="26"/>
          <w:szCs w:val="26"/>
        </w:rPr>
        <w:t>Спестяванията, които могат да бъдат реализирани, са твърде малки</w:t>
      </w:r>
      <w:r>
        <w:rPr>
          <w:rFonts w:cs="Times New Roman" w:ascii="Times New Roman" w:hAnsi="Times New Roman"/>
          <w:sz w:val="26"/>
          <w:szCs w:val="26"/>
          <w:lang w:val="en-US"/>
        </w:rPr>
        <w:t>.</w:t>
      </w:r>
    </w:p>
    <w:p>
      <w:pPr>
        <w:pStyle w:val="ListParagraph"/>
        <w:jc w:val="both"/>
        <w:rPr>
          <w:rFonts w:ascii="Times New Roman" w:hAnsi="Times New Roman" w:cs="Times New Roman"/>
          <w:sz w:val="26"/>
          <w:szCs w:val="26"/>
        </w:rPr>
      </w:pPr>
      <w:r>
        <w:rPr>
          <w:rFonts w:cs="Times New Roman" w:ascii="Times New Roman" w:hAnsi="Times New Roman"/>
          <w:sz w:val="26"/>
          <w:szCs w:val="26"/>
        </w:rPr>
      </w:r>
    </w:p>
    <w:p>
      <w:pPr>
        <w:pStyle w:val="ListParagraph"/>
        <w:numPr>
          <w:ilvl w:val="0"/>
          <w:numId w:val="5"/>
        </w:numPr>
        <w:jc w:val="both"/>
        <w:rPr>
          <w:rFonts w:ascii="Times New Roman" w:hAnsi="Times New Roman" w:cs="Times New Roman"/>
          <w:sz w:val="26"/>
          <w:szCs w:val="26"/>
        </w:rPr>
      </w:pPr>
      <w:r>
        <w:rPr>
          <w:rFonts w:cs="Times New Roman" w:ascii="Times New Roman" w:hAnsi="Times New Roman"/>
          <w:sz w:val="26"/>
          <w:szCs w:val="26"/>
        </w:rPr>
        <w:t>Предложените оферти са твърде трудни за сравнение.</w:t>
      </w:r>
    </w:p>
    <w:p>
      <w:pPr>
        <w:pStyle w:val="Normal"/>
        <w:jc w:val="center"/>
        <w:rPr>
          <w:rFonts w:ascii="Times New Roman" w:hAnsi="Times New Roman" w:cs="Times New Roman"/>
          <w:sz w:val="32"/>
          <w:szCs w:val="32"/>
        </w:rPr>
      </w:pPr>
      <w:r>
        <w:rPr>
          <w:rFonts w:cs="Times New Roman" w:ascii="Times New Roman" w:hAnsi="Times New Roman"/>
          <w:sz w:val="32"/>
          <w:szCs w:val="32"/>
        </w:rPr>
      </w:r>
    </w:p>
    <w:p>
      <w:pPr>
        <w:pStyle w:val="Normal"/>
        <w:jc w:val="center"/>
        <w:rPr>
          <w:rFonts w:ascii="Times New Roman" w:hAnsi="Times New Roman" w:cs="Times New Roman"/>
          <w:sz w:val="32"/>
          <w:szCs w:val="32"/>
        </w:rPr>
      </w:pPr>
      <w:r>
        <w:rPr>
          <w:rFonts w:cs="Times New Roman" w:ascii="Times New Roman" w:hAnsi="Times New Roman"/>
          <w:sz w:val="32"/>
          <w:szCs w:val="32"/>
        </w:rPr>
        <w:t>Заключение</w:t>
      </w:r>
    </w:p>
    <w:p>
      <w:pPr>
        <w:pStyle w:val="Normal"/>
        <w:jc w:val="center"/>
        <w:rPr>
          <w:rFonts w:ascii="Times New Roman" w:hAnsi="Times New Roman" w:cs="Times New Roman"/>
          <w:sz w:val="32"/>
          <w:szCs w:val="32"/>
        </w:rPr>
      </w:pPr>
      <w:r>
        <w:rPr>
          <w:rFonts w:cs="Times New Roman" w:ascii="Times New Roman" w:hAnsi="Times New Roman"/>
          <w:sz w:val="32"/>
          <w:szCs w:val="32"/>
        </w:rPr>
      </w:r>
    </w:p>
    <w:p>
      <w:pPr>
        <w:pStyle w:val="Normal"/>
        <w:jc w:val="both"/>
        <w:rPr>
          <w:rFonts w:ascii="Times New Roman" w:hAnsi="Times New Roman" w:cs="Times New Roman"/>
          <w:sz w:val="26"/>
          <w:szCs w:val="26"/>
        </w:rPr>
      </w:pPr>
      <w:r>
        <w:rPr>
          <w:rFonts w:cs="Times New Roman" w:ascii="Times New Roman" w:hAnsi="Times New Roman"/>
          <w:sz w:val="26"/>
          <w:szCs w:val="26"/>
        </w:rPr>
        <w:t>Търговците на електрическа енергия, които оперират успешно на вътрешния пазар, чрез снабдяване на индустриални консуматори на високо напрежение, по-малки предприятия на средно напрежение и отделни бизнес клиенти на ниско напрежение нямат необходимата готовност за предоставяне на услуги на малки битови клиенти. Обемът информация, който ежедневно трябва да се обработна изисква допълнителни средства за създаване и управление на базата данни. От друга страна, е необходимо да се покрият определени изисквания за информираност и работа с клиентите. Тези изисквания са регламентирани както от европейското, така и от националното законодателство.</w:t>
      </w:r>
    </w:p>
    <w:p>
      <w:pPr>
        <w:pStyle w:val="Normal"/>
        <w:jc w:val="both"/>
        <w:rPr>
          <w:rFonts w:ascii="Times New Roman" w:hAnsi="Times New Roman" w:cs="Times New Roman"/>
          <w:sz w:val="26"/>
          <w:szCs w:val="26"/>
        </w:rPr>
      </w:pPr>
      <w:r>
        <w:rPr>
          <w:rFonts w:cs="Times New Roman" w:ascii="Times New Roman" w:hAnsi="Times New Roman"/>
          <w:sz w:val="26"/>
          <w:szCs w:val="26"/>
        </w:rPr>
      </w:r>
    </w:p>
    <w:p>
      <w:pPr>
        <w:pStyle w:val="Normal"/>
        <w:jc w:val="center"/>
        <w:rPr>
          <w:rFonts w:ascii="Times New Roman" w:hAnsi="Times New Roman" w:cs="Times New Roman"/>
          <w:sz w:val="32"/>
          <w:szCs w:val="32"/>
        </w:rPr>
      </w:pPr>
      <w:r>
        <w:rPr>
          <w:rFonts w:cs="Times New Roman" w:ascii="Times New Roman" w:hAnsi="Times New Roman"/>
          <w:sz w:val="32"/>
          <w:szCs w:val="32"/>
        </w:rPr>
        <w:t>Източници</w:t>
      </w:r>
    </w:p>
    <w:p>
      <w:pPr>
        <w:pStyle w:val="Normal"/>
        <w:jc w:val="center"/>
        <w:rPr>
          <w:rFonts w:ascii="Times New Roman" w:hAnsi="Times New Roman" w:cs="Times New Roman"/>
          <w:sz w:val="32"/>
          <w:szCs w:val="32"/>
        </w:rPr>
      </w:pPr>
      <w:r>
        <w:rPr>
          <w:rFonts w:cs="Times New Roman" w:ascii="Times New Roman" w:hAnsi="Times New Roman"/>
          <w:sz w:val="32"/>
          <w:szCs w:val="32"/>
        </w:rPr>
      </w:r>
    </w:p>
    <w:p>
      <w:pPr>
        <w:pStyle w:val="ListParagraph"/>
        <w:numPr>
          <w:ilvl w:val="0"/>
          <w:numId w:val="6"/>
        </w:numPr>
        <w:jc w:val="both"/>
        <w:rPr>
          <w:rFonts w:ascii="Times New Roman" w:hAnsi="Times New Roman" w:cs="Times New Roman"/>
          <w:sz w:val="26"/>
          <w:szCs w:val="26"/>
        </w:rPr>
      </w:pPr>
      <w:r>
        <w:rPr>
          <w:rFonts w:cs="Times New Roman" w:ascii="Times New Roman" w:hAnsi="Times New Roman"/>
          <w:sz w:val="26"/>
          <w:szCs w:val="26"/>
        </w:rPr>
        <w:t>Комисия за енергийно и водно регулиране (КЕВР) България – Годишен доклад за 2016 г.</w:t>
      </w:r>
    </w:p>
    <w:p>
      <w:pPr>
        <w:pStyle w:val="ListParagraph"/>
        <w:numPr>
          <w:ilvl w:val="0"/>
          <w:numId w:val="6"/>
        </w:numPr>
        <w:jc w:val="both"/>
        <w:rPr>
          <w:rFonts w:ascii="Times New Roman" w:hAnsi="Times New Roman" w:cs="Times New Roman"/>
          <w:sz w:val="26"/>
          <w:szCs w:val="26"/>
        </w:rPr>
      </w:pPr>
      <w:hyperlink r:id="rId7">
        <w:r>
          <w:rPr>
            <w:rStyle w:val="InternetLink"/>
            <w:rFonts w:cs="Times New Roman" w:ascii="Times New Roman" w:hAnsi="Times New Roman"/>
            <w:sz w:val="26"/>
            <w:szCs w:val="26"/>
            <w:lang w:val="en-US"/>
          </w:rPr>
          <w:t>www.elektrichestvo.bg</w:t>
        </w:r>
      </w:hyperlink>
    </w:p>
    <w:p>
      <w:pPr>
        <w:pStyle w:val="ListParagraph"/>
        <w:numPr>
          <w:ilvl w:val="0"/>
          <w:numId w:val="6"/>
        </w:numPr>
        <w:jc w:val="both"/>
        <w:rPr>
          <w:rFonts w:ascii="Times New Roman" w:hAnsi="Times New Roman" w:cs="Times New Roman"/>
          <w:sz w:val="26"/>
          <w:szCs w:val="26"/>
        </w:rPr>
      </w:pPr>
      <w:hyperlink r:id="rId8">
        <w:r>
          <w:rPr>
            <w:rStyle w:val="InternetLink"/>
            <w:rFonts w:cs="Times New Roman" w:ascii="Times New Roman" w:hAnsi="Times New Roman"/>
            <w:sz w:val="26"/>
            <w:szCs w:val="26"/>
          </w:rPr>
          <w:t>https://www.me.government.bg/bg</w:t>
        </w:r>
      </w:hyperlink>
    </w:p>
    <w:p>
      <w:pPr>
        <w:pStyle w:val="ListParagraph"/>
        <w:numPr>
          <w:ilvl w:val="0"/>
          <w:numId w:val="6"/>
        </w:numPr>
        <w:jc w:val="both"/>
        <w:rPr>
          <w:rFonts w:ascii="Times New Roman" w:hAnsi="Times New Roman" w:cs="Times New Roman"/>
          <w:sz w:val="26"/>
          <w:szCs w:val="26"/>
        </w:rPr>
      </w:pPr>
      <w:hyperlink r:id="rId9">
        <w:r>
          <w:rPr>
            <w:rStyle w:val="InternetLink"/>
            <w:rFonts w:cs="Times New Roman" w:ascii="Times New Roman" w:hAnsi="Times New Roman"/>
            <w:sz w:val="26"/>
            <w:szCs w:val="26"/>
          </w:rPr>
          <w:t>http://www.eso.bg/</w:t>
        </w:r>
      </w:hyperlink>
    </w:p>
    <w:p>
      <w:pPr>
        <w:pStyle w:val="ListParagraph"/>
        <w:spacing w:before="0" w:after="200"/>
        <w:contextualSpacing/>
        <w:jc w:val="both"/>
        <w:rPr>
          <w:rFonts w:ascii="Times New Roman" w:hAnsi="Times New Roman" w:cs="Times New Roman"/>
          <w:sz w:val="26"/>
          <w:szCs w:val="26"/>
        </w:rPr>
      </w:pPr>
      <w:r>
        <w:rPr/>
      </w:r>
    </w:p>
    <w:sectPr>
      <w:footerReference w:type="default" r:id="rId10"/>
      <w:type w:val="nextPage"/>
      <w:pgSz w:w="11906" w:h="16838"/>
      <w:pgMar w:left="1417" w:right="1417" w:gutter="0" w:header="0" w:top="1417" w:footer="708"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swiss"/>
    <w:pitch w:val="variable"/>
  </w:font>
  <w:font w:name="Times New Roman">
    <w:charset w:val="01"/>
    <w:family w:val="roman"/>
    <w:pitch w:val="variable"/>
  </w:font>
  <w:font w:name="Wingdings">
    <w:charset w:val="02"/>
    <w:family w:val="auto"/>
    <w:pitch w:val="default"/>
  </w:font>
  <w:font w:name="Courier New">
    <w:charset w:val="01"/>
    <w:family w:val="modern"/>
    <w:pitch w:val="fixed"/>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7073251"/>
    </w:sdtPr>
    <w:sdtContent>
      <w:p>
        <w:pPr>
          <w:pStyle w:val="Footer"/>
          <w:jc w:val="center"/>
          <w:rPr/>
        </w:pPr>
        <w:r>
          <w:rPr/>
          <w:fldChar w:fldCharType="begin"/>
        </w:r>
        <w:r>
          <w:rPr/>
          <w:instrText xml:space="preserve"> PAGE </w:instrText>
        </w:r>
        <w:r>
          <w:rPr/>
          <w:fldChar w:fldCharType="separate"/>
        </w:r>
        <w:r>
          <w:rPr/>
          <w:t>10</w:t>
        </w:r>
        <w:r>
          <w:rPr/>
          <w:fldChar w:fldCharType="end"/>
        </w:r>
      </w:p>
    </w:sdtContent>
  </w:sdt>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bg-BG" w:eastAsia="en-US" w:bidi="ar-SA"/>
    </w:rPr>
  </w:style>
  <w:style w:type="paragraph" w:styleId="Heading1">
    <w:name w:val="Heading 1"/>
    <w:basedOn w:val="Normal"/>
    <w:next w:val="Normal"/>
    <w:link w:val="Heading1Char"/>
    <w:uiPriority w:val="9"/>
    <w:qFormat/>
    <w:rsid w:val="00667570"/>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BalloonTextChar" w:customStyle="1">
    <w:name w:val="Balloon Text Char"/>
    <w:basedOn w:val="DefaultParagraphFont"/>
    <w:link w:val="BalloonText"/>
    <w:uiPriority w:val="99"/>
    <w:semiHidden/>
    <w:qFormat/>
    <w:rsid w:val="004475f8"/>
    <w:rPr>
      <w:rFonts w:ascii="Tahoma" w:hAnsi="Tahoma" w:cs="Tahoma"/>
      <w:sz w:val="16"/>
      <w:szCs w:val="16"/>
    </w:rPr>
  </w:style>
  <w:style w:type="character" w:styleId="HeaderChar" w:customStyle="1">
    <w:name w:val="Header Char"/>
    <w:basedOn w:val="DefaultParagraphFont"/>
    <w:link w:val="Header"/>
    <w:uiPriority w:val="99"/>
    <w:qFormat/>
    <w:rsid w:val="00667570"/>
    <w:rPr/>
  </w:style>
  <w:style w:type="character" w:styleId="FooterChar" w:customStyle="1">
    <w:name w:val="Footer Char"/>
    <w:basedOn w:val="DefaultParagraphFont"/>
    <w:link w:val="Footer"/>
    <w:uiPriority w:val="99"/>
    <w:qFormat/>
    <w:rsid w:val="00667570"/>
    <w:rPr/>
  </w:style>
  <w:style w:type="character" w:styleId="Heading1Char" w:customStyle="1">
    <w:name w:val="Heading 1 Char"/>
    <w:basedOn w:val="DefaultParagraphFont"/>
    <w:link w:val="Heading1"/>
    <w:uiPriority w:val="9"/>
    <w:qFormat/>
    <w:rsid w:val="00667570"/>
    <w:rPr>
      <w:rFonts w:ascii="Cambria" w:hAnsi="Cambria" w:eastAsia="" w:cs="" w:asciiTheme="majorHAnsi" w:cstheme="majorBidi" w:eastAsiaTheme="majorEastAsia" w:hAnsiTheme="majorHAnsi"/>
      <w:b/>
      <w:bCs/>
      <w:color w:val="365F91" w:themeColor="accent1" w:themeShade="bf"/>
      <w:sz w:val="28"/>
      <w:szCs w:val="28"/>
    </w:rPr>
  </w:style>
  <w:style w:type="character" w:styleId="InternetLink">
    <w:name w:val="Hyperlink"/>
    <w:basedOn w:val="DefaultParagraphFont"/>
    <w:uiPriority w:val="99"/>
    <w:unhideWhenUsed/>
    <w:rsid w:val="001f5809"/>
    <w:rPr>
      <w:color w:val="0000FF" w:themeColor="hyperlink"/>
      <w:u w:val="single"/>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BalloonText">
    <w:name w:val="Balloon Text"/>
    <w:basedOn w:val="Normal"/>
    <w:link w:val="BalloonTextChar"/>
    <w:uiPriority w:val="99"/>
    <w:semiHidden/>
    <w:unhideWhenUsed/>
    <w:qFormat/>
    <w:rsid w:val="004475f8"/>
    <w:pPr>
      <w:spacing w:lineRule="auto" w:line="240" w:before="0" w:after="0"/>
    </w:pPr>
    <w:rPr>
      <w:rFonts w:ascii="Tahoma" w:hAnsi="Tahoma" w:cs="Tahoma"/>
      <w:sz w:val="16"/>
      <w:szCs w:val="16"/>
    </w:rPr>
  </w:style>
  <w:style w:type="paragraph" w:styleId="ListParagraph">
    <w:name w:val="List Paragraph"/>
    <w:basedOn w:val="Normal"/>
    <w:uiPriority w:val="34"/>
    <w:qFormat/>
    <w:rsid w:val="00d555be"/>
    <w:pPr>
      <w:spacing w:before="0" w:after="200"/>
      <w:ind w:left="720" w:hanging="0"/>
      <w:contextualSpacing/>
    </w:pPr>
    <w:rPr/>
  </w:style>
  <w:style w:type="paragraph" w:styleId="HeaderandFooter">
    <w:name w:val="Header and Footer"/>
    <w:basedOn w:val="Normal"/>
    <w:qFormat/>
    <w:pPr/>
    <w:rPr/>
  </w:style>
  <w:style w:type="paragraph" w:styleId="Header">
    <w:name w:val="Header"/>
    <w:basedOn w:val="Normal"/>
    <w:link w:val="HeaderChar"/>
    <w:uiPriority w:val="99"/>
    <w:unhideWhenUsed/>
    <w:rsid w:val="00667570"/>
    <w:pPr>
      <w:tabs>
        <w:tab w:val="clear" w:pos="708"/>
        <w:tab w:val="center" w:pos="4536" w:leader="none"/>
        <w:tab w:val="right" w:pos="9072" w:leader="none"/>
      </w:tabs>
      <w:spacing w:lineRule="auto" w:line="240" w:before="0" w:after="0"/>
    </w:pPr>
    <w:rPr/>
  </w:style>
  <w:style w:type="paragraph" w:styleId="Footer">
    <w:name w:val="Footer"/>
    <w:basedOn w:val="Normal"/>
    <w:link w:val="FooterChar"/>
    <w:uiPriority w:val="99"/>
    <w:unhideWhenUsed/>
    <w:rsid w:val="00667570"/>
    <w:pPr>
      <w:tabs>
        <w:tab w:val="clear" w:pos="708"/>
        <w:tab w:val="center" w:pos="4536" w:leader="none"/>
        <w:tab w:val="right" w:pos="9072" w:leader="none"/>
      </w:tabs>
      <w:spacing w:lineRule="auto" w:line="240" w:before="0" w:after="0"/>
    </w:pPr>
    <w:rPr/>
  </w:style>
  <w:style w:type="paragraph" w:styleId="IndexHeading">
    <w:name w:val="Index Heading"/>
    <w:basedOn w:val="Heading"/>
    <w:pPr/>
    <w:rPr/>
  </w:style>
  <w:style w:type="paragraph" w:styleId="ContentsHeading">
    <w:name w:val="TOC Heading"/>
    <w:basedOn w:val="Heading1"/>
    <w:next w:val="Normal"/>
    <w:uiPriority w:val="39"/>
    <w:unhideWhenUsed/>
    <w:qFormat/>
    <w:rsid w:val="00667570"/>
    <w:pPr>
      <w:outlineLvl w:val="9"/>
    </w:pPr>
    <w:rPr>
      <w:lang w:val="en-US" w:eastAsia="ja-JP"/>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jpe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hyperlink" Target="http://www.elektrichestvo.bg/" TargetMode="External"/><Relationship Id="rId8" Type="http://schemas.openxmlformats.org/officeDocument/2006/relationships/hyperlink" Target="https://www.me.government.bg/bg" TargetMode="External"/><Relationship Id="rId9" Type="http://schemas.openxmlformats.org/officeDocument/2006/relationships/hyperlink" Target="http://www.eso.bg/" TargetMode="External"/><Relationship Id="rId10" Type="http://schemas.openxmlformats.org/officeDocument/2006/relationships/footer" Target="footer1.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79B39-5A90-4457-8833-4BFB8FA76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Application>LibreOffice/7.5.2.2$Linux_X86_64 LibreOffice_project/50$Build-2</Application>
  <AppVersion>15.0000</AppVersion>
  <Pages>10</Pages>
  <Words>1543</Words>
  <Characters>9706</Characters>
  <CharactersWithSpaces>11145</CharactersWithSpaces>
  <Paragraphs>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2017-10-16T16:02:00Z</dcterms:created>
  <dc:creator>PC</dc:creator>
  <dc:description/>
  <dc:language>en-US</dc:language>
  <cp:lastModifiedBy>PC</cp:lastModifiedBy>
  <dcterms:modified xsi:type="dcterms:W3CDTF">2019-01-06T09:11:00Z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